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7AF3" w14:textId="031E6D31" w:rsidR="00D91415" w:rsidRPr="00481D92" w:rsidRDefault="006B66AC" w:rsidP="00481D92">
      <w:pPr>
        <w:spacing w:line="360" w:lineRule="auto"/>
        <w:ind w:left="0"/>
        <w:jc w:val="center"/>
        <w:rPr>
          <w:rFonts w:cs="Calibri"/>
          <w:b/>
          <w:bCs/>
        </w:rPr>
      </w:pPr>
      <w:r w:rsidRPr="00481D92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114DB" wp14:editId="636A0A98">
                <wp:simplePos x="0" y="0"/>
                <wp:positionH relativeFrom="column">
                  <wp:posOffset>2113278</wp:posOffset>
                </wp:positionH>
                <wp:positionV relativeFrom="paragraph">
                  <wp:posOffset>-24131</wp:posOffset>
                </wp:positionV>
                <wp:extent cx="0" cy="0"/>
                <wp:effectExtent l="0" t="0" r="0" b="0"/>
                <wp:wrapNone/>
                <wp:docPr id="6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74D1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166.4pt;margin-top:-1.9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" strokeweight=".26467mm"/>
            </w:pict>
          </mc:Fallback>
        </mc:AlternateContent>
      </w:r>
      <w:r w:rsidR="00481D92" w:rsidRPr="00481D92">
        <w:rPr>
          <w:rFonts w:cs="Calibri"/>
          <w:b/>
          <w:bCs/>
        </w:rPr>
        <w:t>INFORMACJA DOT. ORGANIZOWANIA ROBÓT PUBLICZNYCH</w:t>
      </w:r>
    </w:p>
    <w:p w14:paraId="1BE70380" w14:textId="2A74E6CE" w:rsidR="00D91415" w:rsidRPr="005A09A0" w:rsidRDefault="00D91415" w:rsidP="005A09A0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kern w:val="2"/>
          <w14:ligatures w14:val="standardContextual"/>
        </w:rPr>
      </w:pPr>
      <w:r w:rsidRPr="005A09A0">
        <w:rPr>
          <w:rFonts w:cs="Calibri"/>
          <w:kern w:val="2"/>
          <w14:ligatures w14:val="standardContextual"/>
        </w:rPr>
        <w:t xml:space="preserve">Organizator robót publicznych może wskazać pracodawcę, u którego będą wykonywane roboty publiczne. W takim przypadku umowa/porozumienie zawierane jest z pracodawcą </w:t>
      </w:r>
      <w:r w:rsidR="00DE0EF7">
        <w:rPr>
          <w:rFonts w:cs="Calibri"/>
          <w:kern w:val="2"/>
          <w14:ligatures w14:val="standardContextual"/>
        </w:rPr>
        <w:br/>
      </w:r>
      <w:r w:rsidRPr="005A09A0">
        <w:rPr>
          <w:rFonts w:cs="Calibri"/>
          <w:kern w:val="2"/>
          <w14:ligatures w14:val="standardContextual"/>
        </w:rPr>
        <w:t xml:space="preserve">i beneficjentem pomocy de </w:t>
      </w:r>
      <w:proofErr w:type="spellStart"/>
      <w:r w:rsidRPr="005A09A0">
        <w:rPr>
          <w:rFonts w:cs="Calibri"/>
          <w:kern w:val="2"/>
          <w14:ligatures w14:val="standardContextual"/>
        </w:rPr>
        <w:t>minimis</w:t>
      </w:r>
      <w:proofErr w:type="spellEnd"/>
      <w:r w:rsidRPr="005A09A0">
        <w:rPr>
          <w:rFonts w:cs="Calibri"/>
          <w:kern w:val="2"/>
          <w14:ligatures w14:val="standardContextual"/>
        </w:rPr>
        <w:t xml:space="preserve"> jest wskazany pracodawca. </w:t>
      </w:r>
    </w:p>
    <w:p w14:paraId="087DF6CE" w14:textId="2F21E3CF" w:rsidR="00D91415" w:rsidRPr="005A09A0" w:rsidRDefault="00D91415" w:rsidP="005A09A0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kern w:val="2"/>
          <w14:ligatures w14:val="standardContextual"/>
        </w:rPr>
      </w:pPr>
      <w:r w:rsidRPr="005A09A0">
        <w:rPr>
          <w:rFonts w:cs="Calibri"/>
          <w:kern w:val="2"/>
          <w14:ligatures w14:val="standardContextual"/>
        </w:rPr>
        <w:t xml:space="preserve">Organizator robót publicznych/pracodawca składa wniosek o organizowanie robót publicznych </w:t>
      </w:r>
      <w:r w:rsidR="00365608" w:rsidRPr="005A09A0">
        <w:rPr>
          <w:rFonts w:cs="Calibri"/>
          <w:kern w:val="2"/>
          <w14:ligatures w14:val="standardContextual"/>
        </w:rPr>
        <w:br/>
      </w:r>
      <w:r w:rsidRPr="005A09A0">
        <w:rPr>
          <w:rFonts w:cs="Calibri"/>
          <w:kern w:val="2"/>
          <w14:ligatures w14:val="standardContextual"/>
        </w:rPr>
        <w:t>do PUP właściwego ze względu na miejsce wykonywania tych robót.</w:t>
      </w:r>
    </w:p>
    <w:p w14:paraId="28199C56" w14:textId="5E4A746F" w:rsidR="00D91415" w:rsidRPr="005A09A0" w:rsidRDefault="00D91415" w:rsidP="005A09A0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color w:val="000000" w:themeColor="text1"/>
          <w:kern w:val="2"/>
          <w14:ligatures w14:val="standardContextual"/>
        </w:rPr>
      </w:pPr>
      <w:r w:rsidRPr="005A09A0">
        <w:rPr>
          <w:rFonts w:cs="Calibri"/>
        </w:rPr>
        <w:t xml:space="preserve">Proponowany okres refundacji części kosztów poniesionych na wynagrodzenia, nagrody oraz składki na ubezpieczenie społeczne skierowanych osób bezrobotnych/poszukujących pracy </w:t>
      </w:r>
      <w:r w:rsidR="00365608" w:rsidRPr="005A09A0">
        <w:rPr>
          <w:rFonts w:cs="Calibri"/>
        </w:rPr>
        <w:br/>
      </w:r>
      <w:r w:rsidRPr="005A09A0">
        <w:rPr>
          <w:rFonts w:cs="Calibri"/>
        </w:rPr>
        <w:t xml:space="preserve">w ramach robót publicznych - do 6 miesięcy. </w:t>
      </w:r>
      <w:r w:rsidR="00365608" w:rsidRPr="005A09A0">
        <w:rPr>
          <w:rFonts w:cs="Calibri"/>
        </w:rPr>
        <w:t xml:space="preserve">Po okresie refundacji </w:t>
      </w:r>
      <w:r w:rsidR="00365608" w:rsidRPr="005A09A0">
        <w:rPr>
          <w:rFonts w:cs="Calibri"/>
          <w:color w:val="000000" w:themeColor="text1"/>
        </w:rPr>
        <w:t xml:space="preserve">PUP </w:t>
      </w:r>
      <w:r w:rsidRPr="005A09A0">
        <w:rPr>
          <w:rFonts w:cs="Calibri"/>
          <w:color w:val="000000" w:themeColor="text1"/>
        </w:rPr>
        <w:t>wymaga  deklaracj</w:t>
      </w:r>
      <w:r w:rsidR="00365608" w:rsidRPr="005A09A0">
        <w:rPr>
          <w:rFonts w:cs="Calibri"/>
          <w:color w:val="000000" w:themeColor="text1"/>
        </w:rPr>
        <w:t>i</w:t>
      </w:r>
      <w:r w:rsidRPr="005A09A0">
        <w:rPr>
          <w:rFonts w:cs="Calibri"/>
          <w:color w:val="000000" w:themeColor="text1"/>
        </w:rPr>
        <w:t xml:space="preserve"> </w:t>
      </w:r>
      <w:r w:rsidR="00365608" w:rsidRPr="005A09A0">
        <w:rPr>
          <w:rFonts w:cs="Calibri"/>
          <w:color w:val="000000" w:themeColor="text1"/>
        </w:rPr>
        <w:br/>
      </w:r>
      <w:r w:rsidRPr="005A09A0">
        <w:rPr>
          <w:rFonts w:cs="Calibri"/>
          <w:color w:val="000000" w:themeColor="text1"/>
        </w:rPr>
        <w:t>dalszego zatrudnienia na min. 90 dni</w:t>
      </w:r>
      <w:r w:rsidR="00365608" w:rsidRPr="005A09A0">
        <w:rPr>
          <w:rFonts w:cs="Calibri"/>
          <w:color w:val="000000" w:themeColor="text1"/>
        </w:rPr>
        <w:t>.</w:t>
      </w:r>
      <w:r w:rsidRPr="005A09A0">
        <w:rPr>
          <w:rFonts w:cs="Calibri"/>
          <w:color w:val="000000" w:themeColor="text1"/>
        </w:rPr>
        <w:t xml:space="preserve">  </w:t>
      </w:r>
      <w:bookmarkStart w:id="0" w:name="_Hlk123812632"/>
    </w:p>
    <w:p w14:paraId="798F5299" w14:textId="77777777" w:rsidR="00D91415" w:rsidRPr="005A09A0" w:rsidRDefault="00D91415" w:rsidP="005A09A0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kern w:val="2"/>
          <w14:ligatures w14:val="standardContextual"/>
        </w:rPr>
      </w:pPr>
      <w:r w:rsidRPr="005A09A0">
        <w:rPr>
          <w:rFonts w:cs="Calibri"/>
        </w:rPr>
        <w:t>Organizator robót publicznych/pracodawca jest obowiązany zatrudniać w pierwszej kolejności bezrobotnych będących dłużnikami alimentacyjnymi.</w:t>
      </w:r>
    </w:p>
    <w:p w14:paraId="0A60C31A" w14:textId="53544815" w:rsidR="00D91415" w:rsidRPr="005A09A0" w:rsidRDefault="00D91415" w:rsidP="005A09A0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color w:val="000000" w:themeColor="text1"/>
          <w:kern w:val="2"/>
          <w14:ligatures w14:val="standardContextual"/>
        </w:rPr>
      </w:pPr>
      <w:r w:rsidRPr="005A09A0">
        <w:rPr>
          <w:rFonts w:eastAsia="Courier New" w:cs="Calibri"/>
          <w:color w:val="000000" w:themeColor="text1"/>
          <w:lang w:bidi="pl-PL"/>
        </w:rPr>
        <w:t>Przy kierowaniu do robót publicznych uwzględniana będzie częstotliwość korzystania z tej formy wsparcia przez osoby bezrobotne/poszukujące pracy</w:t>
      </w:r>
      <w:bookmarkEnd w:id="0"/>
      <w:r w:rsidR="0070298A" w:rsidRPr="005A09A0">
        <w:rPr>
          <w:rFonts w:eastAsia="Courier New" w:cs="Calibri"/>
          <w:color w:val="000000" w:themeColor="text1"/>
          <w:lang w:bidi="pl-PL"/>
        </w:rPr>
        <w:t xml:space="preserve"> biorąc pod uwagę racjonalność, efektywność i celowość wydatkowania środków publicznych.</w:t>
      </w:r>
    </w:p>
    <w:p w14:paraId="00DC42CC" w14:textId="1FBC081C" w:rsidR="00E94FCC" w:rsidRPr="005A09A0" w:rsidRDefault="00D91415" w:rsidP="005A09A0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kern w:val="2"/>
          <w14:ligatures w14:val="standardContextual"/>
        </w:rPr>
      </w:pPr>
      <w:r w:rsidRPr="005A09A0">
        <w:rPr>
          <w:rFonts w:cs="Calibri"/>
        </w:rPr>
        <w:t xml:space="preserve">Na roboty publiczne nie będą kierowane osoby, które były zatrudnione w ramach tych prac </w:t>
      </w:r>
      <w:r w:rsidR="00E94FCC" w:rsidRPr="005A09A0">
        <w:rPr>
          <w:rFonts w:cs="Calibri"/>
        </w:rPr>
        <w:br/>
      </w:r>
      <w:r w:rsidRPr="005A09A0">
        <w:rPr>
          <w:rFonts w:cs="Calibri"/>
        </w:rPr>
        <w:t xml:space="preserve">w okresie ostatnich 90 dni u danego pracodawcy (dotyczy również prac interwencyjnych). </w:t>
      </w:r>
    </w:p>
    <w:p w14:paraId="4EDC32F9" w14:textId="77777777" w:rsidR="0070298A" w:rsidRPr="005A09A0" w:rsidRDefault="00D91415" w:rsidP="005A09A0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color w:val="000000" w:themeColor="text1"/>
          <w:kern w:val="2"/>
          <w14:ligatures w14:val="standardContextual"/>
        </w:rPr>
      </w:pPr>
      <w:r w:rsidRPr="005A09A0">
        <w:rPr>
          <w:rFonts w:cs="Calibri"/>
        </w:rPr>
        <w:t xml:space="preserve">Organizator robót publicznych/pracodawca, nie może skorzystać z ww. formy wsparcia jeśli </w:t>
      </w:r>
      <w:r w:rsidR="00E94FCC" w:rsidRPr="005A09A0">
        <w:rPr>
          <w:rFonts w:cs="Calibri"/>
        </w:rPr>
        <w:br/>
      </w:r>
      <w:r w:rsidRPr="005A09A0">
        <w:rPr>
          <w:rFonts w:cs="Calibri"/>
        </w:rPr>
        <w:t xml:space="preserve">w okresie 12 miesięcy </w:t>
      </w:r>
      <w:r w:rsidRPr="005A09A0">
        <w:rPr>
          <w:rFonts w:cs="Calibri"/>
          <w:color w:val="000000" w:themeColor="text1"/>
        </w:rPr>
        <w:t xml:space="preserve">poprzedzających złożenie wniosku o organizowanie robót publicznych jako organizator stażu bez uzasadnionej przyczyny przerwał staż, bądź starosta, wskutek </w:t>
      </w:r>
      <w:r w:rsidR="00E94FCC" w:rsidRPr="005A09A0">
        <w:rPr>
          <w:rFonts w:cs="Calibri"/>
          <w:color w:val="000000" w:themeColor="text1"/>
        </w:rPr>
        <w:br/>
      </w:r>
      <w:r w:rsidRPr="005A09A0">
        <w:rPr>
          <w:rFonts w:cs="Calibri"/>
          <w:color w:val="000000" w:themeColor="text1"/>
        </w:rPr>
        <w:t>niedotrzymania warunków jego odbywania lub nierealizowania przez organizatora programu stażu przerwał dalszą jego realizację.</w:t>
      </w:r>
      <w:r w:rsidR="0070298A" w:rsidRPr="005A09A0">
        <w:rPr>
          <w:rFonts w:cs="Calibri"/>
          <w:color w:val="000000" w:themeColor="text1"/>
        </w:rPr>
        <w:t xml:space="preserve"> </w:t>
      </w:r>
    </w:p>
    <w:p w14:paraId="457CC061" w14:textId="2CB0F417" w:rsidR="0070298A" w:rsidRPr="005A09A0" w:rsidRDefault="00D91415" w:rsidP="005A09A0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color w:val="000000" w:themeColor="text1"/>
          <w:kern w:val="2"/>
          <w14:ligatures w14:val="standardContextual"/>
        </w:rPr>
      </w:pPr>
      <w:r w:rsidRPr="005A09A0">
        <w:rPr>
          <w:rFonts w:cs="Calibri"/>
          <w:color w:val="000000" w:themeColor="text1"/>
        </w:rPr>
        <w:t>Wysokość refundacji w ramach robót publicznych proponuje się w kwocie 3</w:t>
      </w:r>
      <w:r w:rsidR="00D73D4A" w:rsidRPr="005A09A0">
        <w:rPr>
          <w:rFonts w:cs="Calibri"/>
          <w:color w:val="000000" w:themeColor="text1"/>
        </w:rPr>
        <w:t>0</w:t>
      </w:r>
      <w:r w:rsidRPr="005A09A0">
        <w:rPr>
          <w:rFonts w:cs="Calibri"/>
          <w:color w:val="000000" w:themeColor="text1"/>
        </w:rPr>
        <w:t>00 zł + składka ZUS od refundowanej kwoty (składki, które pokrywa pracodawca: emerytalna, rentowa oraz</w:t>
      </w:r>
      <w:r w:rsidR="001A66DC" w:rsidRPr="005A09A0">
        <w:rPr>
          <w:rFonts w:cs="Calibri"/>
          <w:color w:val="000000" w:themeColor="text1"/>
        </w:rPr>
        <w:t xml:space="preserve"> </w:t>
      </w:r>
      <w:r w:rsidRPr="005A09A0">
        <w:rPr>
          <w:rFonts w:cs="Calibri"/>
          <w:color w:val="000000" w:themeColor="text1"/>
        </w:rPr>
        <w:t>wypadkowa)</w:t>
      </w:r>
      <w:r w:rsidR="00E94FCC" w:rsidRPr="005A09A0">
        <w:rPr>
          <w:rFonts w:cs="Calibri"/>
          <w:color w:val="000000" w:themeColor="text1"/>
        </w:rPr>
        <w:t xml:space="preserve">. </w:t>
      </w:r>
    </w:p>
    <w:p w14:paraId="549707CD" w14:textId="77777777" w:rsidR="0070298A" w:rsidRPr="005A09A0" w:rsidRDefault="00091687" w:rsidP="005A09A0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color w:val="000000" w:themeColor="text1"/>
          <w:kern w:val="2"/>
          <w14:ligatures w14:val="standardContextual"/>
        </w:rPr>
      </w:pPr>
      <w:r w:rsidRPr="005A09A0">
        <w:rPr>
          <w:rFonts w:cs="Calibri"/>
          <w:color w:val="000000" w:themeColor="text1"/>
        </w:rPr>
        <w:t>Rozliczeni</w:t>
      </w:r>
      <w:r w:rsidR="0070298A" w:rsidRPr="005A09A0">
        <w:rPr>
          <w:rFonts w:cs="Calibri"/>
          <w:color w:val="000000" w:themeColor="text1"/>
        </w:rPr>
        <w:t>e</w:t>
      </w:r>
      <w:r w:rsidRPr="005A09A0">
        <w:rPr>
          <w:rFonts w:cs="Calibri"/>
          <w:color w:val="000000" w:themeColor="text1"/>
        </w:rPr>
        <w:t xml:space="preserve"> i w</w:t>
      </w:r>
      <w:r w:rsidR="00D91415" w:rsidRPr="005A09A0">
        <w:rPr>
          <w:rFonts w:cs="Calibri"/>
          <w:color w:val="000000" w:themeColor="text1"/>
        </w:rPr>
        <w:t xml:space="preserve">ypłata refundacji </w:t>
      </w:r>
      <w:r w:rsidR="0070298A" w:rsidRPr="005A09A0">
        <w:rPr>
          <w:rFonts w:cs="Calibri"/>
          <w:color w:val="000000" w:themeColor="text1"/>
        </w:rPr>
        <w:t xml:space="preserve">za zatrudnionego w ramach ww. formy pomocy bezrobotnego nastąpi na podstawie złożonego kompletnego wniosku </w:t>
      </w:r>
      <w:r w:rsidR="00D91415" w:rsidRPr="005A09A0">
        <w:rPr>
          <w:rFonts w:cs="Calibri"/>
          <w:color w:val="000000" w:themeColor="text1"/>
        </w:rPr>
        <w:t xml:space="preserve">w terminie do 3 miesięcy od dnia </w:t>
      </w:r>
      <w:r w:rsidR="0070298A" w:rsidRPr="005A09A0">
        <w:rPr>
          <w:rFonts w:cs="Calibri"/>
          <w:color w:val="000000" w:themeColor="text1"/>
        </w:rPr>
        <w:t>jego złożenia.</w:t>
      </w:r>
    </w:p>
    <w:p w14:paraId="3853E1C4" w14:textId="549470A8" w:rsidR="0070298A" w:rsidRPr="005A09A0" w:rsidRDefault="00D91415" w:rsidP="005A09A0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color w:val="000000" w:themeColor="text1"/>
          <w:kern w:val="2"/>
          <w14:ligatures w14:val="standardContextual"/>
        </w:rPr>
      </w:pPr>
      <w:r w:rsidRPr="005A09A0">
        <w:rPr>
          <w:rFonts w:cs="Calibri"/>
          <w:color w:val="000000" w:themeColor="text1"/>
        </w:rPr>
        <w:t xml:space="preserve">Organizator/pracodawca nie może otrzymać finansowania formy pomocy z Funduszu Pracy </w:t>
      </w:r>
      <w:r w:rsidR="00E94FCC" w:rsidRPr="005A09A0">
        <w:rPr>
          <w:rFonts w:cs="Calibri"/>
          <w:color w:val="000000" w:themeColor="text1"/>
        </w:rPr>
        <w:br/>
      </w:r>
      <w:r w:rsidRPr="005A09A0">
        <w:rPr>
          <w:rFonts w:cs="Calibri"/>
          <w:color w:val="000000" w:themeColor="text1"/>
        </w:rPr>
        <w:t xml:space="preserve">w części, w której te same koszty zostały </w:t>
      </w:r>
      <w:r w:rsidR="001A66DC" w:rsidRPr="005A09A0">
        <w:rPr>
          <w:rFonts w:cs="Calibri"/>
          <w:color w:val="000000" w:themeColor="text1"/>
        </w:rPr>
        <w:t>s</w:t>
      </w:r>
      <w:r w:rsidRPr="005A09A0">
        <w:rPr>
          <w:rFonts w:cs="Calibri"/>
          <w:color w:val="000000" w:themeColor="text1"/>
        </w:rPr>
        <w:t>finansowane z innych środków publicznych.</w:t>
      </w:r>
      <w:r w:rsidR="0070298A" w:rsidRPr="005A09A0">
        <w:rPr>
          <w:rFonts w:cs="Calibri"/>
          <w:color w:val="000000" w:themeColor="text1"/>
        </w:rPr>
        <w:t xml:space="preserve"> </w:t>
      </w:r>
    </w:p>
    <w:p w14:paraId="67F1FB75" w14:textId="77777777" w:rsidR="0070298A" w:rsidRPr="005A09A0" w:rsidRDefault="00D91415" w:rsidP="005A09A0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color w:val="000000" w:themeColor="text1"/>
          <w:kern w:val="2"/>
          <w14:ligatures w14:val="standardContextual"/>
        </w:rPr>
      </w:pPr>
      <w:r w:rsidRPr="005A09A0">
        <w:rPr>
          <w:rFonts w:cs="Calibri"/>
          <w:color w:val="000000" w:themeColor="text1"/>
        </w:rPr>
        <w:t>PUP publikuje na stronie internetowej urzędu wykaz pracodawców, przedsiębiorców i innych podmiotów, z którymi w okresie ostatnich 2 lat zawarł umowy w ramach formy pomocy.</w:t>
      </w:r>
    </w:p>
    <w:p w14:paraId="49A0141C" w14:textId="23C04323" w:rsidR="00D91415" w:rsidRPr="00A94942" w:rsidRDefault="00D91415" w:rsidP="00A94942">
      <w:pPr>
        <w:pStyle w:val="Akapitzlist"/>
        <w:numPr>
          <w:ilvl w:val="0"/>
          <w:numId w:val="2"/>
        </w:numPr>
        <w:autoSpaceDN/>
        <w:spacing w:after="160" w:line="360" w:lineRule="auto"/>
        <w:textAlignment w:val="auto"/>
        <w:rPr>
          <w:rFonts w:cs="Calibri"/>
          <w:color w:val="000000" w:themeColor="text1"/>
          <w:kern w:val="2"/>
          <w14:ligatures w14:val="standardContextual"/>
        </w:rPr>
      </w:pPr>
      <w:r w:rsidRPr="005A09A0">
        <w:rPr>
          <w:rFonts w:cs="Calibri"/>
          <w:color w:val="000000" w:themeColor="text1"/>
        </w:rPr>
        <w:t>PUP umożliwia organizatorowi/pracodawcy, który skorzystał z formy pomocy, dokonanie anonimowej ewaluacji w zakresie satysfakcji, jakości i trafności zaoferowanej pomocy.</w:t>
      </w:r>
    </w:p>
    <w:p w14:paraId="662C3DCA" w14:textId="2F52F62F" w:rsidR="00D91415" w:rsidRPr="00A94942" w:rsidRDefault="00D91415" w:rsidP="00A94942">
      <w:pPr>
        <w:spacing w:line="360" w:lineRule="auto"/>
        <w:rPr>
          <w:rStyle w:val="Ppogrubienie"/>
          <w:rFonts w:cs="Calibri"/>
          <w:b w:val="0"/>
          <w:color w:val="000000" w:themeColor="text1"/>
          <w:sz w:val="20"/>
          <w:szCs w:val="20"/>
        </w:rPr>
      </w:pPr>
      <w:r w:rsidRPr="00A94942">
        <w:rPr>
          <w:rFonts w:cs="Calibri"/>
          <w:color w:val="000000" w:themeColor="text1"/>
          <w:sz w:val="20"/>
          <w:szCs w:val="20"/>
        </w:rPr>
        <w:t xml:space="preserve">* </w:t>
      </w:r>
      <w:r w:rsidRPr="00A94942">
        <w:rPr>
          <w:rStyle w:val="Ppogrubienie"/>
          <w:rFonts w:cs="Calibri"/>
          <w:b w:val="0"/>
          <w:color w:val="000000" w:themeColor="text1"/>
          <w:sz w:val="20"/>
          <w:szCs w:val="20"/>
        </w:rPr>
        <w:t>poszukujący pracy niezatrudniony i niewykonujący innej pracy zarobkowej opiekun osób niepełnosprawnych</w:t>
      </w:r>
    </w:p>
    <w:p w14:paraId="45D57509" w14:textId="21DC54BB" w:rsidR="00C458C2" w:rsidRPr="005A09A0" w:rsidRDefault="00C458C2" w:rsidP="00A94942">
      <w:pPr>
        <w:pStyle w:val="Default"/>
        <w:spacing w:line="360" w:lineRule="auto"/>
        <w:ind w:left="0"/>
        <w:rPr>
          <w:rFonts w:cs="Calibri"/>
        </w:rPr>
      </w:pPr>
    </w:p>
    <w:sectPr w:rsidR="00C458C2" w:rsidRPr="005A09A0" w:rsidSect="00A94942">
      <w:pgSz w:w="11906" w:h="16838"/>
      <w:pgMar w:top="426" w:right="1021" w:bottom="0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680C" w14:textId="77777777" w:rsidR="00851CA6" w:rsidRDefault="00851CA6">
      <w:r>
        <w:separator/>
      </w:r>
    </w:p>
  </w:endnote>
  <w:endnote w:type="continuationSeparator" w:id="0">
    <w:p w14:paraId="7318AE69" w14:textId="77777777" w:rsidR="00851CA6" w:rsidRDefault="0085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D738" w14:textId="77777777" w:rsidR="00851CA6" w:rsidRDefault="00851CA6">
      <w:r>
        <w:rPr>
          <w:color w:val="000000"/>
        </w:rPr>
        <w:separator/>
      </w:r>
    </w:p>
  </w:footnote>
  <w:footnote w:type="continuationSeparator" w:id="0">
    <w:p w14:paraId="2DDEE1EA" w14:textId="77777777" w:rsidR="00851CA6" w:rsidRDefault="0085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7EA7"/>
    <w:multiLevelType w:val="hybridMultilevel"/>
    <w:tmpl w:val="C9E87D64"/>
    <w:lvl w:ilvl="0" w:tplc="3CECB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2F2C"/>
    <w:multiLevelType w:val="hybridMultilevel"/>
    <w:tmpl w:val="115EC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5B82"/>
    <w:multiLevelType w:val="hybridMultilevel"/>
    <w:tmpl w:val="1EEC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100E8"/>
    <w:multiLevelType w:val="hybridMultilevel"/>
    <w:tmpl w:val="1A28F284"/>
    <w:lvl w:ilvl="0" w:tplc="796CA71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D2234"/>
    <w:multiLevelType w:val="hybridMultilevel"/>
    <w:tmpl w:val="ECF4CDB6"/>
    <w:lvl w:ilvl="0" w:tplc="4DC638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1EF0"/>
    <w:multiLevelType w:val="hybridMultilevel"/>
    <w:tmpl w:val="4F54D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20382"/>
    <w:multiLevelType w:val="hybridMultilevel"/>
    <w:tmpl w:val="8EBE8B9A"/>
    <w:lvl w:ilvl="0" w:tplc="895865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2645BD"/>
    <w:multiLevelType w:val="hybridMultilevel"/>
    <w:tmpl w:val="5CD03366"/>
    <w:lvl w:ilvl="0" w:tplc="DC568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E07760"/>
    <w:multiLevelType w:val="hybridMultilevel"/>
    <w:tmpl w:val="8E889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12DB0"/>
    <w:multiLevelType w:val="hybridMultilevel"/>
    <w:tmpl w:val="CA4C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22F53"/>
    <w:multiLevelType w:val="hybridMultilevel"/>
    <w:tmpl w:val="036476F0"/>
    <w:lvl w:ilvl="0" w:tplc="68A632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C09EB"/>
    <w:multiLevelType w:val="hybridMultilevel"/>
    <w:tmpl w:val="F2F65CA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F74ED"/>
    <w:multiLevelType w:val="hybridMultilevel"/>
    <w:tmpl w:val="6540D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C07EC"/>
    <w:multiLevelType w:val="hybridMultilevel"/>
    <w:tmpl w:val="3B2A1A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47977">
    <w:abstractNumId w:val="12"/>
  </w:num>
  <w:num w:numId="2" w16cid:durableId="1468276398">
    <w:abstractNumId w:val="3"/>
  </w:num>
  <w:num w:numId="3" w16cid:durableId="580061428">
    <w:abstractNumId w:val="0"/>
  </w:num>
  <w:num w:numId="4" w16cid:durableId="1470826741">
    <w:abstractNumId w:val="4"/>
  </w:num>
  <w:num w:numId="5" w16cid:durableId="332296317">
    <w:abstractNumId w:val="8"/>
  </w:num>
  <w:num w:numId="6" w16cid:durableId="1599024603">
    <w:abstractNumId w:val="9"/>
  </w:num>
  <w:num w:numId="7" w16cid:durableId="435097904">
    <w:abstractNumId w:val="1"/>
  </w:num>
  <w:num w:numId="8" w16cid:durableId="66388675">
    <w:abstractNumId w:val="5"/>
  </w:num>
  <w:num w:numId="9" w16cid:durableId="1554806646">
    <w:abstractNumId w:val="6"/>
  </w:num>
  <w:num w:numId="10" w16cid:durableId="122235058">
    <w:abstractNumId w:val="11"/>
  </w:num>
  <w:num w:numId="11" w16cid:durableId="926814863">
    <w:abstractNumId w:val="13"/>
  </w:num>
  <w:num w:numId="12" w16cid:durableId="978846794">
    <w:abstractNumId w:val="10"/>
  </w:num>
  <w:num w:numId="13" w16cid:durableId="2062438037">
    <w:abstractNumId w:val="7"/>
  </w:num>
  <w:num w:numId="14" w16cid:durableId="163637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8C"/>
    <w:rsid w:val="000051C2"/>
    <w:rsid w:val="0001404C"/>
    <w:rsid w:val="0003484A"/>
    <w:rsid w:val="0003716F"/>
    <w:rsid w:val="0004227A"/>
    <w:rsid w:val="000553D7"/>
    <w:rsid w:val="00064CF8"/>
    <w:rsid w:val="00091687"/>
    <w:rsid w:val="000C1BFC"/>
    <w:rsid w:val="000E59C9"/>
    <w:rsid w:val="000F0F8E"/>
    <w:rsid w:val="00113165"/>
    <w:rsid w:val="00125872"/>
    <w:rsid w:val="0016006C"/>
    <w:rsid w:val="00164CB7"/>
    <w:rsid w:val="00182115"/>
    <w:rsid w:val="001A66DC"/>
    <w:rsid w:val="001D28D0"/>
    <w:rsid w:val="001D5DC7"/>
    <w:rsid w:val="001F291B"/>
    <w:rsid w:val="001F5C2C"/>
    <w:rsid w:val="00226BD8"/>
    <w:rsid w:val="002406FB"/>
    <w:rsid w:val="00240F46"/>
    <w:rsid w:val="0027040C"/>
    <w:rsid w:val="00297A8C"/>
    <w:rsid w:val="002A3C0D"/>
    <w:rsid w:val="002B6251"/>
    <w:rsid w:val="002E3F0D"/>
    <w:rsid w:val="002F6BB3"/>
    <w:rsid w:val="003139D6"/>
    <w:rsid w:val="0034736F"/>
    <w:rsid w:val="00365608"/>
    <w:rsid w:val="00381F3C"/>
    <w:rsid w:val="00387ED3"/>
    <w:rsid w:val="003E0DB4"/>
    <w:rsid w:val="003F00E1"/>
    <w:rsid w:val="004039CE"/>
    <w:rsid w:val="00410FEE"/>
    <w:rsid w:val="00432C95"/>
    <w:rsid w:val="004522A0"/>
    <w:rsid w:val="00463A63"/>
    <w:rsid w:val="00481D92"/>
    <w:rsid w:val="00482F4A"/>
    <w:rsid w:val="004A55E3"/>
    <w:rsid w:val="004D198B"/>
    <w:rsid w:val="00501F83"/>
    <w:rsid w:val="00530209"/>
    <w:rsid w:val="005325BE"/>
    <w:rsid w:val="005375C3"/>
    <w:rsid w:val="00581E1B"/>
    <w:rsid w:val="005A09A0"/>
    <w:rsid w:val="005C7B4A"/>
    <w:rsid w:val="005D2585"/>
    <w:rsid w:val="005E4318"/>
    <w:rsid w:val="005E7805"/>
    <w:rsid w:val="005F77D8"/>
    <w:rsid w:val="006055E7"/>
    <w:rsid w:val="00616CF4"/>
    <w:rsid w:val="00617EC9"/>
    <w:rsid w:val="006254B1"/>
    <w:rsid w:val="0065188D"/>
    <w:rsid w:val="00656DF4"/>
    <w:rsid w:val="00664A22"/>
    <w:rsid w:val="006B0F83"/>
    <w:rsid w:val="006B66AC"/>
    <w:rsid w:val="006C5424"/>
    <w:rsid w:val="006C606A"/>
    <w:rsid w:val="006C62D0"/>
    <w:rsid w:val="006E6AC2"/>
    <w:rsid w:val="006E6F97"/>
    <w:rsid w:val="0070298A"/>
    <w:rsid w:val="00725F20"/>
    <w:rsid w:val="0072717F"/>
    <w:rsid w:val="007457CD"/>
    <w:rsid w:val="00790C4C"/>
    <w:rsid w:val="00793C34"/>
    <w:rsid w:val="007D37FA"/>
    <w:rsid w:val="007D39BA"/>
    <w:rsid w:val="007D547E"/>
    <w:rsid w:val="007E2D12"/>
    <w:rsid w:val="007E5195"/>
    <w:rsid w:val="007F23C0"/>
    <w:rsid w:val="008143C8"/>
    <w:rsid w:val="0082322D"/>
    <w:rsid w:val="008273A9"/>
    <w:rsid w:val="00834282"/>
    <w:rsid w:val="008403F9"/>
    <w:rsid w:val="00841161"/>
    <w:rsid w:val="00851CA6"/>
    <w:rsid w:val="0088469B"/>
    <w:rsid w:val="00886C22"/>
    <w:rsid w:val="008A69D7"/>
    <w:rsid w:val="008B4568"/>
    <w:rsid w:val="008D716F"/>
    <w:rsid w:val="008E2201"/>
    <w:rsid w:val="008E72B0"/>
    <w:rsid w:val="008F674F"/>
    <w:rsid w:val="00943315"/>
    <w:rsid w:val="00953A84"/>
    <w:rsid w:val="00957628"/>
    <w:rsid w:val="00990CF3"/>
    <w:rsid w:val="0099666D"/>
    <w:rsid w:val="009C1615"/>
    <w:rsid w:val="009D4C2B"/>
    <w:rsid w:val="009E2ECA"/>
    <w:rsid w:val="009E5FB9"/>
    <w:rsid w:val="009F669C"/>
    <w:rsid w:val="00A11BC8"/>
    <w:rsid w:val="00A547A4"/>
    <w:rsid w:val="00A64166"/>
    <w:rsid w:val="00A75DF0"/>
    <w:rsid w:val="00A83A43"/>
    <w:rsid w:val="00A94942"/>
    <w:rsid w:val="00AD256F"/>
    <w:rsid w:val="00AD31C9"/>
    <w:rsid w:val="00B33F2A"/>
    <w:rsid w:val="00B52762"/>
    <w:rsid w:val="00B66CDE"/>
    <w:rsid w:val="00B75004"/>
    <w:rsid w:val="00BA64C0"/>
    <w:rsid w:val="00C458C2"/>
    <w:rsid w:val="00C51DD8"/>
    <w:rsid w:val="00D540B8"/>
    <w:rsid w:val="00D73D4A"/>
    <w:rsid w:val="00D91415"/>
    <w:rsid w:val="00DC49E5"/>
    <w:rsid w:val="00DE0EF7"/>
    <w:rsid w:val="00DF0811"/>
    <w:rsid w:val="00E213B0"/>
    <w:rsid w:val="00E33CE3"/>
    <w:rsid w:val="00E471FC"/>
    <w:rsid w:val="00E60838"/>
    <w:rsid w:val="00E81BC9"/>
    <w:rsid w:val="00E94FCC"/>
    <w:rsid w:val="00E95B02"/>
    <w:rsid w:val="00EA1F8F"/>
    <w:rsid w:val="00EA4473"/>
    <w:rsid w:val="00EB0E0E"/>
    <w:rsid w:val="00ED24DE"/>
    <w:rsid w:val="00EE626D"/>
    <w:rsid w:val="00EE6E5F"/>
    <w:rsid w:val="00EF2F89"/>
    <w:rsid w:val="00F23061"/>
    <w:rsid w:val="00F27ACF"/>
    <w:rsid w:val="00F4759A"/>
    <w:rsid w:val="00F633EF"/>
    <w:rsid w:val="00F72EBC"/>
    <w:rsid w:val="00F7344A"/>
    <w:rsid w:val="00F75A84"/>
    <w:rsid w:val="00FC1614"/>
    <w:rsid w:val="00FE3027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1D8F"/>
  <w15:docId w15:val="{99525990-236A-4D05-A564-9D6318FA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pl-PL" w:bidi="ar-SA"/>
      </w:rPr>
    </w:rPrDefault>
    <w:pPrDefault>
      <w:pPr>
        <w:autoSpaceDN w:val="0"/>
        <w:spacing w:after="120"/>
        <w:ind w:left="34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94942"/>
  </w:style>
  <w:style w:type="paragraph" w:styleId="Nagwek1">
    <w:name w:val="heading 1"/>
    <w:basedOn w:val="Normalny"/>
    <w:next w:val="Normalny"/>
    <w:pPr>
      <w:keepNext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pPr>
      <w:keepNext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rPr>
      <w:b/>
      <w:bCs/>
      <w:i/>
      <w:i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pPr>
      <w:widowControl w:val="0"/>
      <w:shd w:val="clear" w:color="auto" w:fill="FFFFFF"/>
      <w:spacing w:before="120" w:after="540" w:line="0" w:lineRule="atLeast"/>
    </w:pPr>
    <w:rPr>
      <w:b/>
      <w:bCs/>
      <w:i/>
      <w:iCs/>
      <w:sz w:val="18"/>
      <w:szCs w:val="18"/>
    </w:rPr>
  </w:style>
  <w:style w:type="character" w:customStyle="1" w:styleId="Teksttreci10pt">
    <w:name w:val="Tekst treści + 10 pt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Teksttreci">
    <w:name w:val="Tekst treści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</w:style>
  <w:style w:type="character" w:styleId="Pogrubieni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4A55E3"/>
    <w:pPr>
      <w:ind w:left="720"/>
      <w:contextualSpacing/>
    </w:pPr>
  </w:style>
  <w:style w:type="paragraph" w:customStyle="1" w:styleId="Default">
    <w:name w:val="Default"/>
    <w:rsid w:val="00C458C2"/>
    <w:pPr>
      <w:autoSpaceDE w:val="0"/>
      <w:adjustRightInd w:val="0"/>
      <w:textAlignment w:val="auto"/>
    </w:pPr>
    <w:rPr>
      <w:color w:val="000000"/>
    </w:rPr>
  </w:style>
  <w:style w:type="character" w:customStyle="1" w:styleId="Ppogrubienie">
    <w:name w:val="_P_ – pogrubienie"/>
    <w:basedOn w:val="Domylnaczcionkaakapitu"/>
    <w:uiPriority w:val="99"/>
    <w:qFormat/>
    <w:rsid w:val="00D91415"/>
    <w:rPr>
      <w:b/>
    </w:rPr>
  </w:style>
  <w:style w:type="paragraph" w:styleId="Nagwek">
    <w:name w:val="header"/>
    <w:basedOn w:val="Normalny"/>
    <w:link w:val="NagwekZnak"/>
    <w:uiPriority w:val="99"/>
    <w:unhideWhenUsed/>
    <w:rsid w:val="005A0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9A0"/>
  </w:style>
  <w:style w:type="paragraph" w:styleId="Stopka">
    <w:name w:val="footer"/>
    <w:basedOn w:val="Normalny"/>
    <w:link w:val="StopkaZnak"/>
    <w:uiPriority w:val="99"/>
    <w:unhideWhenUsed/>
    <w:rsid w:val="005A0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ruki%20pracownicze\szablon%20pisma%20202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pisma 2023.dotx</Template>
  <TotalTime>55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</dc:creator>
  <cp:lastModifiedBy>Honorata Jamrug</cp:lastModifiedBy>
  <cp:revision>10</cp:revision>
  <cp:lastPrinted>2026-01-22T10:00:00Z</cp:lastPrinted>
  <dcterms:created xsi:type="dcterms:W3CDTF">2025-11-26T11:19:00Z</dcterms:created>
  <dcterms:modified xsi:type="dcterms:W3CDTF">2026-02-06T11:46:00Z</dcterms:modified>
</cp:coreProperties>
</file>