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7AF3" w14:textId="1A5E9D30" w:rsidR="00D91415" w:rsidRPr="00481D92" w:rsidRDefault="006B66AC" w:rsidP="00481D92">
      <w:pPr>
        <w:spacing w:line="360" w:lineRule="auto"/>
        <w:ind w:left="0"/>
        <w:jc w:val="center"/>
        <w:rPr>
          <w:rFonts w:cs="Calibri"/>
          <w:b/>
          <w:bCs/>
        </w:rPr>
      </w:pPr>
      <w:r w:rsidRPr="00481D92">
        <w:rPr>
          <w:rFonts w:cs="Calibri"/>
          <w:noProof/>
        </w:rPr>
        <mc:AlternateContent>
          <mc:Choice Requires="wps">
            <w:drawing>
              <wp:anchor distT="0" distB="0" distL="114300" distR="114300" simplePos="0" relativeHeight="251659264" behindDoc="0" locked="0" layoutInCell="1" allowOverlap="1" wp14:anchorId="6C6114DB" wp14:editId="636A0A98">
                <wp:simplePos x="0" y="0"/>
                <wp:positionH relativeFrom="column">
                  <wp:posOffset>2113278</wp:posOffset>
                </wp:positionH>
                <wp:positionV relativeFrom="paragraph">
                  <wp:posOffset>-24131</wp:posOffset>
                </wp:positionV>
                <wp:extent cx="0" cy="0"/>
                <wp:effectExtent l="0" t="0" r="0" b="0"/>
                <wp:wrapNone/>
                <wp:docPr id="6" name="Łącznik prosty ze strzałką 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a:solidFill>
                            <a:srgbClr val="000000"/>
                          </a:solidFill>
                          <a:prstDash val="solid"/>
                          <a:round/>
                        </a:ln>
                      </wps:spPr>
                      <wps:bodyPr/>
                    </wps:wsp>
                  </a:graphicData>
                </a:graphic>
              </wp:anchor>
            </w:drawing>
          </mc:Choice>
          <mc:Fallback>
            <w:pict>
              <v:shapetype w14:anchorId="0974D184" id="_x0000_t32" coordsize="21600,21600" o:spt="32" o:oned="t" path="m,l21600,21600e" filled="f">
                <v:path arrowok="t" fillok="f" o:connecttype="none"/>
                <o:lock v:ext="edit" shapetype="t"/>
              </v:shapetype>
              <v:shape id="Łącznik prosty ze strzałką 2" o:spid="_x0000_s1026" type="#_x0000_t32" style="position:absolute;margin-left:166.4pt;margin-top:-1.9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jiAEAABEDAAAOAAAAZHJzL2Uyb0RvYy54bWysUk1v2zAMvQ/ofxB0b5wE6NAZcXpI0F6G&#10;tUC3H6DIki1AEgVSjZN/P0puk33chvlASyTfI/mozcMpeHE0SA5iJ1eLpRQmauhdHDr54/vj7b0U&#10;lFXslYdoOnk2JB+2N582U2rNGkbwvUHBJJHaKXVyzDm1TUN6NEHRApKJHLSAQWW+4tD0qCZmD75Z&#10;L5efmwmwTwjaELF3PwfltvJba3R+tpZMFr6T3FuuFqs9FNtsN6odUKXR6fc21D90EZSLXPRCtVdZ&#10;iTd0f1EFpxEIbF5oCA1Y67SpM/A0q+Uf07yOKpk6C4tD6SIT/T9a/e24iy/IMkyJWkovWKY4WQzl&#10;z/2JUxXrfBHLnLLQs1N/eJsrJCHlJwNBlEMnKaNyw5h3ECMvA3BVZVLHr5S5KAM/AKVehEfnfd2J&#10;j2Lq5Je79X0FEHjXl2BJIxwOO4/iqMpW61cWyWS/pRXmvaJxzquhed8Ib7GfAT4y7jp6OR2gP1dF&#10;qp91r8zvb6Qs9td7RV9f8vYnAAAA//8DAFBLAwQUAAYACAAAACEACQDIZt0AAAAJAQAADwAAAGRy&#10;cy9kb3ducmV2LnhtbEyP0UrDQBBF3wX/YZmCL9JubEQkzaYUsVBEpNZ+wDS7TUKys2F300a/3pE+&#10;1Kdh7r3cOZMvR9uJk/GhcaTgYZaAMFQ63VClYP+1nj6DCBFJY+fIKPg2AZbF7U2OmXZn+jSnXawE&#10;l1DIUEEdY59JGcraWAwz1xti7+i8xcirr6T2eOZy28l5kjxJiw3xhRp781Kbst0NVsEGP47b+8f2&#10;fe3T1/3PsFn59m2r1N1kXC1ARDPGaxj+8BkdCmY6uIF0EJ2CNJ0zelQwTXly4CIcLoIscvn/g+IX&#10;AAD//wMAUEsBAi0AFAAGAAgAAAAhALaDOJL+AAAA4QEAABMAAAAAAAAAAAAAAAAAAAAAAFtDb250&#10;ZW50X1R5cGVzXS54bWxQSwECLQAUAAYACAAAACEAOP0h/9YAAACUAQAACwAAAAAAAAAAAAAAAAAv&#10;AQAAX3JlbHMvLnJlbHNQSwECLQAUAAYACAAAACEAIozxo4gBAAARAwAADgAAAAAAAAAAAAAAAAAu&#10;AgAAZHJzL2Uyb0RvYy54bWxQSwECLQAUAAYACAAAACEACQDIZt0AAAAJAQAADwAAAAAAAAAAAAAA&#10;AADiAwAAZHJzL2Rvd25yZXYueG1sUEsFBgAAAAAEAAQA8wAAAOwEAAAAAA==&#10;" strokeweight=".26467mm"/>
            </w:pict>
          </mc:Fallback>
        </mc:AlternateContent>
      </w:r>
      <w:r w:rsidR="00481D92" w:rsidRPr="00481D92">
        <w:rPr>
          <w:rFonts w:cs="Calibri"/>
          <w:b/>
          <w:bCs/>
        </w:rPr>
        <w:t xml:space="preserve">INFORMACJA DOT. </w:t>
      </w:r>
      <w:r w:rsidR="00D075EC">
        <w:rPr>
          <w:rFonts w:cs="Calibri"/>
          <w:b/>
          <w:bCs/>
        </w:rPr>
        <w:t>PRAC SPOŁECZNIE UŻYTECZNYCH</w:t>
      </w:r>
    </w:p>
    <w:p w14:paraId="1BE70380" w14:textId="5DB1F024" w:rsidR="00D91415" w:rsidRPr="005A09A0" w:rsidRDefault="00D91415" w:rsidP="005A09A0">
      <w:pPr>
        <w:pStyle w:val="Akapitzlist"/>
        <w:numPr>
          <w:ilvl w:val="0"/>
          <w:numId w:val="2"/>
        </w:numPr>
        <w:autoSpaceDN/>
        <w:spacing w:after="160" w:line="360" w:lineRule="auto"/>
        <w:textAlignment w:val="auto"/>
        <w:rPr>
          <w:rFonts w:cs="Calibri"/>
          <w:kern w:val="2"/>
          <w14:ligatures w14:val="standardContextual"/>
        </w:rPr>
      </w:pPr>
      <w:r w:rsidRPr="005A09A0">
        <w:rPr>
          <w:rFonts w:cs="Calibri"/>
          <w:kern w:val="2"/>
          <w14:ligatures w14:val="standardContextual"/>
        </w:rPr>
        <w:t xml:space="preserve"> </w:t>
      </w:r>
      <w:r w:rsidR="00D075EC" w:rsidRPr="00D8544E">
        <w:rPr>
          <w:rFonts w:cstheme="minorHAnsi"/>
          <w:color w:val="000000" w:themeColor="text1"/>
        </w:rPr>
        <w:t>Prace społecznie użyteczne mogą być organizowane na rzecz społeczności lokalnej przez gminę w:</w:t>
      </w:r>
      <w:r w:rsidR="00D075EC" w:rsidRPr="00D8544E">
        <w:rPr>
          <w:rFonts w:cstheme="minorHAnsi"/>
          <w:color w:val="000000" w:themeColor="text1"/>
        </w:rPr>
        <w:br/>
        <w:t>1) jednostkach organizacyjnych pomocy społecznej;</w:t>
      </w:r>
      <w:r w:rsidR="00D075EC" w:rsidRPr="00D8544E">
        <w:rPr>
          <w:rFonts w:cstheme="minorHAnsi"/>
          <w:color w:val="000000" w:themeColor="text1"/>
        </w:rPr>
        <w:br/>
        <w:t>2) podmiotach ekonomii społecznej, o których mowa w art. 2 pkt 5 ustawy z dnia 5 sierpnia 2022 r. o ekonomii społecznej;</w:t>
      </w:r>
      <w:r w:rsidR="00D075EC" w:rsidRPr="00D8544E">
        <w:rPr>
          <w:rFonts w:cstheme="minorHAnsi"/>
          <w:color w:val="000000" w:themeColor="text1"/>
        </w:rPr>
        <w:br/>
        <w:t>3) organizacjach lub instytucjach statutowo zajmujących się pomocą charytatywną lub na rzecz społeczności lokalnej;</w:t>
      </w:r>
      <w:r w:rsidR="00D075EC" w:rsidRPr="00D8544E">
        <w:rPr>
          <w:rFonts w:cstheme="minorHAnsi"/>
          <w:color w:val="000000" w:themeColor="text1"/>
        </w:rPr>
        <w:br/>
        <w:t>4) podmiotach systemu oświaty, o których mowa w art. 2 ustawy z dnia 14 grudnia 2016 r. – Prawo oświatowe.</w:t>
      </w:r>
    </w:p>
    <w:p w14:paraId="28199C56" w14:textId="7A0C5852" w:rsidR="00D91415" w:rsidRPr="00D075EC" w:rsidRDefault="00D075EC" w:rsidP="005A09A0">
      <w:pPr>
        <w:pStyle w:val="Akapitzlist"/>
        <w:numPr>
          <w:ilvl w:val="0"/>
          <w:numId w:val="2"/>
        </w:numPr>
        <w:autoSpaceDN/>
        <w:spacing w:after="160" w:line="360" w:lineRule="auto"/>
        <w:textAlignment w:val="auto"/>
        <w:rPr>
          <w:rFonts w:cs="Calibri"/>
          <w:color w:val="000000" w:themeColor="text1"/>
          <w:kern w:val="2"/>
          <w14:ligatures w14:val="standardContextual"/>
        </w:rPr>
      </w:pPr>
      <w:r w:rsidRPr="00D8544E">
        <w:rPr>
          <w:rFonts w:cstheme="minorHAnsi"/>
          <w:color w:val="000000" w:themeColor="text1"/>
        </w:rPr>
        <w:t>Starosta może skierować do wykonywania prac społecznie użytecznych bezrobotnego bez prawa do zasiłku korzystającego ze świadczeń pomocy społecznej, jeżeli bezrobotny zamieszkuje lub przebywa na terenie gminy, która organizuje te prace.</w:t>
      </w:r>
      <w:r w:rsidR="00D91415" w:rsidRPr="005A09A0">
        <w:rPr>
          <w:rFonts w:cs="Calibri"/>
          <w:color w:val="000000" w:themeColor="text1"/>
        </w:rPr>
        <w:t xml:space="preserve"> </w:t>
      </w:r>
      <w:bookmarkStart w:id="0" w:name="_Hlk123812632"/>
    </w:p>
    <w:p w14:paraId="096B590E"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Wykonywanie prac społecznie użytecznych odbywa się bez nawiązywania stosunku pracy</w:t>
      </w:r>
      <w:r>
        <w:rPr>
          <w:rFonts w:cstheme="minorHAnsi"/>
          <w:color w:val="000000" w:themeColor="text1"/>
        </w:rPr>
        <w:t>.</w:t>
      </w:r>
    </w:p>
    <w:p w14:paraId="4A9B6857"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 xml:space="preserve"> Kierowanie do prac społecznie użytecznych odbywa się na podstawie porozumienia w sprawie organizacji prac społecznie użytecznych zawieranego między starostą a wójtem lub burmistrzem lub prezydentem miasta.</w:t>
      </w:r>
    </w:p>
    <w:p w14:paraId="4615D106"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 xml:space="preserve"> Kierownik ośrodka pomocy społecznej na podstawie porozumienia, o którym mowa w pkt. 4, sporządza listę bezrobotnych, którzy mogą być skierowani do wykonywania prac społecznie użytecznych na terenie gminy, i przesyła ją do właściwego miejscowo PUP.</w:t>
      </w:r>
    </w:p>
    <w:p w14:paraId="7A466A73"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Prace społecznie użyteczne są wykonywane przez bezrobotnego w wymiarze nieprzekraczającym 10 godzin tygodniowo przez okres nie dłuższy niż 180 dni w roku kalendarzowym.</w:t>
      </w:r>
    </w:p>
    <w:p w14:paraId="6F16F769"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Bezrobotnemu przysługuje świadczenie w wysokości nie niższej niż wysokość minimalnej stawki godzinowej ogłaszanej na podstawie ustawy z dnia 10 października 2002 r. o minimalnym wynagrodzeniu za pracę za każdą godzinę wykonywania prac społecznie użytecznych. W bieżącym roku refundacja wynosi 60% kwoty minimalnej stawki godzinowej- 31,40 zł tj. 18,84 zł</w:t>
      </w:r>
      <w:r>
        <w:rPr>
          <w:rFonts w:cstheme="minorHAnsi"/>
          <w:color w:val="000000" w:themeColor="text1"/>
        </w:rPr>
        <w:t>.</w:t>
      </w:r>
    </w:p>
    <w:p w14:paraId="71E553C8"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Świadczenie nie przysługuje za okres niewykonywania prac społecznie użytecznych, w tym za okres udokumentowanej niezdolności do pracy.</w:t>
      </w:r>
    </w:p>
    <w:p w14:paraId="78529450"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 xml:space="preserve"> W przypadku przerwania stażu przez organizatora stażu bez uzasadnionej przyczyny– organizator stażu nie może korzystać z form pomocy, z wyłączeniem pośrednictwa pracy i poradnictwa zawodowego, przez okres 12 miesięcy od dnia przerwania realizacji stażu przez starostę lub przerwania stażu przez organizatora stażu.</w:t>
      </w:r>
    </w:p>
    <w:p w14:paraId="7423EE37"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 xml:space="preserve">PUP publikuje na stronie internetowej urzędu wykaz pracodawców, przedsiębiorców i innych podmiotów, z którymi w okresie ostatnich 2 lat zawarto umowy/porozumienia w ramach form pomocy zawierający nazwę pracodawcy, przedsiębiorcy albo innego podmiotu, z którym zawarto umowę/porozumienie, wskazanie formy pomocy oraz liczbę utworzonych stanowisk pracy lub stanowisk utworzonych w ramach form pomocy; aktualizuje wykaz, niezwłocznie, nie później </w:t>
      </w:r>
      <w:r w:rsidRPr="00D075EC">
        <w:rPr>
          <w:rFonts w:cstheme="minorHAnsi"/>
          <w:color w:val="000000" w:themeColor="text1"/>
        </w:rPr>
        <w:lastRenderedPageBreak/>
        <w:t>jednak niż w terminie 90 dni od dnia zawarcia każdej nowej umowy/porozumienia w ramach form pomocy określonych w ustawie; po zakończeniu każdego roku kalendarzowego, w terminie do dnia 31 stycznia, przekazuje właściwej powiatowej radzie rynku pracy wykaz.</w:t>
      </w:r>
    </w:p>
    <w:p w14:paraId="2AEFDFD4"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PUP przed udzieleniem formy pomocy pozyskuje za pośrednictwem systemu teleinformatycznego, o którym mowa w art. 26 ust. 1 pkt 1 i 10, od:</w:t>
      </w:r>
      <w:r w:rsidRPr="00D075EC">
        <w:rPr>
          <w:rFonts w:cstheme="minorHAnsi"/>
          <w:color w:val="000000" w:themeColor="text1"/>
        </w:rPr>
        <w:br/>
        <w:t xml:space="preserve">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5EAB4121" w14:textId="77777777" w:rsid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Starosta może odmówić przyznania formy pomocy, jeżeli uzyskał informację o naruszeniach, o których mowa wyżej.</w:t>
      </w:r>
    </w:p>
    <w:p w14:paraId="567F9800" w14:textId="5A8941B9" w:rsidR="00D075EC" w:rsidRPr="00D075EC" w:rsidRDefault="00D075EC" w:rsidP="00D075EC">
      <w:pPr>
        <w:pStyle w:val="Akapitzlist"/>
        <w:numPr>
          <w:ilvl w:val="0"/>
          <w:numId w:val="2"/>
        </w:numPr>
        <w:spacing w:line="360" w:lineRule="auto"/>
        <w:rPr>
          <w:rFonts w:cstheme="minorHAnsi"/>
          <w:color w:val="000000" w:themeColor="text1"/>
        </w:rPr>
      </w:pPr>
      <w:r w:rsidRPr="00D075EC">
        <w:rPr>
          <w:rFonts w:cstheme="minorHAnsi"/>
          <w:color w:val="000000" w:themeColor="text1"/>
        </w:rPr>
        <w:t xml:space="preserve"> </w:t>
      </w:r>
      <w:r w:rsidRPr="00D075EC">
        <w:rPr>
          <w:rFonts w:cstheme="minorHAnsi"/>
        </w:rPr>
        <w:t>PUP umożliwia organizatorowi, który skorzystał z formy pomocy, dokonanie anonimowej ewaluacji w zakresie satysfakcji, jakości i trafności zaoferowanej pomocy.</w:t>
      </w:r>
    </w:p>
    <w:bookmarkEnd w:id="0"/>
    <w:p w14:paraId="45D57509" w14:textId="21DC54BB" w:rsidR="00C458C2" w:rsidRPr="005A09A0" w:rsidRDefault="00C458C2" w:rsidP="00A94942">
      <w:pPr>
        <w:pStyle w:val="Default"/>
        <w:spacing w:line="360" w:lineRule="auto"/>
        <w:ind w:left="0"/>
        <w:rPr>
          <w:rFonts w:cs="Calibri"/>
        </w:rPr>
      </w:pPr>
    </w:p>
    <w:sectPr w:rsidR="00C458C2" w:rsidRPr="005A09A0" w:rsidSect="00A94942">
      <w:pgSz w:w="11906" w:h="16838"/>
      <w:pgMar w:top="426" w:right="1021" w:bottom="0"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C0C1" w14:textId="77777777" w:rsidR="00510526" w:rsidRDefault="00510526">
      <w:r>
        <w:separator/>
      </w:r>
    </w:p>
  </w:endnote>
  <w:endnote w:type="continuationSeparator" w:id="0">
    <w:p w14:paraId="008A2062" w14:textId="77777777" w:rsidR="00510526" w:rsidRDefault="0051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04A8" w14:textId="77777777" w:rsidR="00510526" w:rsidRDefault="00510526">
      <w:r>
        <w:rPr>
          <w:color w:val="000000"/>
        </w:rPr>
        <w:separator/>
      </w:r>
    </w:p>
  </w:footnote>
  <w:footnote w:type="continuationSeparator" w:id="0">
    <w:p w14:paraId="211BDD5F" w14:textId="77777777" w:rsidR="00510526" w:rsidRDefault="0051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7EA7"/>
    <w:multiLevelType w:val="hybridMultilevel"/>
    <w:tmpl w:val="C9E87D64"/>
    <w:lvl w:ilvl="0" w:tplc="3CECBB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E42F2C"/>
    <w:multiLevelType w:val="hybridMultilevel"/>
    <w:tmpl w:val="115EC00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9D5B82"/>
    <w:multiLevelType w:val="hybridMultilevel"/>
    <w:tmpl w:val="1EECA9A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9100E8"/>
    <w:multiLevelType w:val="hybridMultilevel"/>
    <w:tmpl w:val="1A28F284"/>
    <w:lvl w:ilvl="0" w:tplc="796CA710">
      <w:start w:val="1"/>
      <w:numFmt w:val="decimal"/>
      <w:lvlText w:val="%1."/>
      <w:lvlJc w:val="left"/>
      <w:pPr>
        <w:ind w:left="360" w:hanging="360"/>
      </w:pPr>
      <w:rPr>
        <w:rFonts w:ascii="Calibri" w:eastAsia="Times New Roman" w:hAnsi="Calibri" w:cs="Calibri" w:hint="default"/>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FED2234"/>
    <w:multiLevelType w:val="hybridMultilevel"/>
    <w:tmpl w:val="ECF4CDB6"/>
    <w:lvl w:ilvl="0" w:tplc="4DC6389E">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881EF0"/>
    <w:multiLevelType w:val="hybridMultilevel"/>
    <w:tmpl w:val="4F54D9F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420382"/>
    <w:multiLevelType w:val="hybridMultilevel"/>
    <w:tmpl w:val="8EBE8B9A"/>
    <w:lvl w:ilvl="0" w:tplc="8958658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A2645BD"/>
    <w:multiLevelType w:val="hybridMultilevel"/>
    <w:tmpl w:val="5CD03366"/>
    <w:lvl w:ilvl="0" w:tplc="DC5686C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7E07760"/>
    <w:multiLevelType w:val="hybridMultilevel"/>
    <w:tmpl w:val="8E88903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412DB0"/>
    <w:multiLevelType w:val="hybridMultilevel"/>
    <w:tmpl w:val="CA4C47E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C22F53"/>
    <w:multiLevelType w:val="hybridMultilevel"/>
    <w:tmpl w:val="036476F0"/>
    <w:lvl w:ilvl="0" w:tplc="68A63206">
      <w:start w:val="1"/>
      <w:numFmt w:val="decimal"/>
      <w:lvlText w:val="%1."/>
      <w:lvlJc w:val="left"/>
      <w:pPr>
        <w:ind w:left="720" w:hanging="360"/>
      </w:pPr>
      <w:rPr>
        <w:rFonts w:ascii="Arial" w:eastAsia="Times New Roman" w:hAnsi="Arial" w:cs="Arial"/>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B8C09EB"/>
    <w:multiLevelType w:val="hybridMultilevel"/>
    <w:tmpl w:val="F2F65CA2"/>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AF74ED"/>
    <w:multiLevelType w:val="hybridMultilevel"/>
    <w:tmpl w:val="6540D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8C07EC"/>
    <w:multiLevelType w:val="hybridMultilevel"/>
    <w:tmpl w:val="3B2A1A9A"/>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5147977">
    <w:abstractNumId w:val="12"/>
  </w:num>
  <w:num w:numId="2" w16cid:durableId="1468276398">
    <w:abstractNumId w:val="3"/>
  </w:num>
  <w:num w:numId="3" w16cid:durableId="580061428">
    <w:abstractNumId w:val="0"/>
  </w:num>
  <w:num w:numId="4" w16cid:durableId="1470826741">
    <w:abstractNumId w:val="4"/>
  </w:num>
  <w:num w:numId="5" w16cid:durableId="332296317">
    <w:abstractNumId w:val="8"/>
  </w:num>
  <w:num w:numId="6" w16cid:durableId="1599024603">
    <w:abstractNumId w:val="9"/>
  </w:num>
  <w:num w:numId="7" w16cid:durableId="435097904">
    <w:abstractNumId w:val="1"/>
  </w:num>
  <w:num w:numId="8" w16cid:durableId="66388675">
    <w:abstractNumId w:val="5"/>
  </w:num>
  <w:num w:numId="9" w16cid:durableId="1554806646">
    <w:abstractNumId w:val="6"/>
  </w:num>
  <w:num w:numId="10" w16cid:durableId="122235058">
    <w:abstractNumId w:val="11"/>
  </w:num>
  <w:num w:numId="11" w16cid:durableId="926814863">
    <w:abstractNumId w:val="13"/>
  </w:num>
  <w:num w:numId="12" w16cid:durableId="978846794">
    <w:abstractNumId w:val="10"/>
  </w:num>
  <w:num w:numId="13" w16cid:durableId="2062438037">
    <w:abstractNumId w:val="7"/>
  </w:num>
  <w:num w:numId="14" w16cid:durableId="163637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8C"/>
    <w:rsid w:val="000051C2"/>
    <w:rsid w:val="0001404C"/>
    <w:rsid w:val="0003484A"/>
    <w:rsid w:val="0003716F"/>
    <w:rsid w:val="0004227A"/>
    <w:rsid w:val="000553D7"/>
    <w:rsid w:val="00064CF8"/>
    <w:rsid w:val="00091687"/>
    <w:rsid w:val="000C1BFC"/>
    <w:rsid w:val="000E59C9"/>
    <w:rsid w:val="000F0F8E"/>
    <w:rsid w:val="00113165"/>
    <w:rsid w:val="00125872"/>
    <w:rsid w:val="0016006C"/>
    <w:rsid w:val="00164CB7"/>
    <w:rsid w:val="00182115"/>
    <w:rsid w:val="001A66DC"/>
    <w:rsid w:val="001D28D0"/>
    <w:rsid w:val="001D5DC7"/>
    <w:rsid w:val="001F291B"/>
    <w:rsid w:val="001F5C2C"/>
    <w:rsid w:val="00226BD8"/>
    <w:rsid w:val="002406FB"/>
    <w:rsid w:val="00240F46"/>
    <w:rsid w:val="0027040C"/>
    <w:rsid w:val="00297A8C"/>
    <w:rsid w:val="002A3C0D"/>
    <w:rsid w:val="002B6251"/>
    <w:rsid w:val="002E3F0D"/>
    <w:rsid w:val="002F6BB3"/>
    <w:rsid w:val="003139D6"/>
    <w:rsid w:val="0034736F"/>
    <w:rsid w:val="00365608"/>
    <w:rsid w:val="00381F3C"/>
    <w:rsid w:val="00387ED3"/>
    <w:rsid w:val="003E0DB4"/>
    <w:rsid w:val="003F00E1"/>
    <w:rsid w:val="004039CE"/>
    <w:rsid w:val="00410FEE"/>
    <w:rsid w:val="00432C95"/>
    <w:rsid w:val="004522A0"/>
    <w:rsid w:val="00463A63"/>
    <w:rsid w:val="00481D92"/>
    <w:rsid w:val="00482F4A"/>
    <w:rsid w:val="004A55E3"/>
    <w:rsid w:val="004D198B"/>
    <w:rsid w:val="00501F83"/>
    <w:rsid w:val="00510526"/>
    <w:rsid w:val="00530209"/>
    <w:rsid w:val="005325BE"/>
    <w:rsid w:val="005375C3"/>
    <w:rsid w:val="00581E1B"/>
    <w:rsid w:val="005A09A0"/>
    <w:rsid w:val="005C7B4A"/>
    <w:rsid w:val="005D2585"/>
    <w:rsid w:val="005E4318"/>
    <w:rsid w:val="005E7805"/>
    <w:rsid w:val="005F77D8"/>
    <w:rsid w:val="006055E7"/>
    <w:rsid w:val="00616CF4"/>
    <w:rsid w:val="00617EC9"/>
    <w:rsid w:val="006254B1"/>
    <w:rsid w:val="0065188D"/>
    <w:rsid w:val="00656DF4"/>
    <w:rsid w:val="00664A22"/>
    <w:rsid w:val="006B0F83"/>
    <w:rsid w:val="006B66AC"/>
    <w:rsid w:val="006C5424"/>
    <w:rsid w:val="006C606A"/>
    <w:rsid w:val="006C62D0"/>
    <w:rsid w:val="006E6AC2"/>
    <w:rsid w:val="006E6F97"/>
    <w:rsid w:val="0070298A"/>
    <w:rsid w:val="00725F20"/>
    <w:rsid w:val="0072717F"/>
    <w:rsid w:val="007457CD"/>
    <w:rsid w:val="00790C4C"/>
    <w:rsid w:val="00793C34"/>
    <w:rsid w:val="007D37FA"/>
    <w:rsid w:val="007D39BA"/>
    <w:rsid w:val="007D547E"/>
    <w:rsid w:val="007E2D12"/>
    <w:rsid w:val="007E5195"/>
    <w:rsid w:val="007F23C0"/>
    <w:rsid w:val="008143C8"/>
    <w:rsid w:val="0082322D"/>
    <w:rsid w:val="008273A9"/>
    <w:rsid w:val="00834282"/>
    <w:rsid w:val="008403F9"/>
    <w:rsid w:val="00841161"/>
    <w:rsid w:val="00851CA6"/>
    <w:rsid w:val="0088469B"/>
    <w:rsid w:val="00886C22"/>
    <w:rsid w:val="008A69D7"/>
    <w:rsid w:val="008B4568"/>
    <w:rsid w:val="008D716F"/>
    <w:rsid w:val="008E2201"/>
    <w:rsid w:val="008E72B0"/>
    <w:rsid w:val="008F674F"/>
    <w:rsid w:val="00943315"/>
    <w:rsid w:val="00953A84"/>
    <w:rsid w:val="00957628"/>
    <w:rsid w:val="00990CF3"/>
    <w:rsid w:val="0099666D"/>
    <w:rsid w:val="009C1615"/>
    <w:rsid w:val="009D4C2B"/>
    <w:rsid w:val="009E2ECA"/>
    <w:rsid w:val="009E5FB9"/>
    <w:rsid w:val="009F669C"/>
    <w:rsid w:val="00A11BC8"/>
    <w:rsid w:val="00A547A4"/>
    <w:rsid w:val="00A64166"/>
    <w:rsid w:val="00A75DF0"/>
    <w:rsid w:val="00A83A43"/>
    <w:rsid w:val="00A94942"/>
    <w:rsid w:val="00AD256F"/>
    <w:rsid w:val="00AD31C9"/>
    <w:rsid w:val="00B33F2A"/>
    <w:rsid w:val="00B52762"/>
    <w:rsid w:val="00B66CDE"/>
    <w:rsid w:val="00B75004"/>
    <w:rsid w:val="00BA64C0"/>
    <w:rsid w:val="00BF71B0"/>
    <w:rsid w:val="00C458C2"/>
    <w:rsid w:val="00C51DD8"/>
    <w:rsid w:val="00D075EC"/>
    <w:rsid w:val="00D540B8"/>
    <w:rsid w:val="00D73D4A"/>
    <w:rsid w:val="00D91415"/>
    <w:rsid w:val="00DC49E5"/>
    <w:rsid w:val="00DE0EF7"/>
    <w:rsid w:val="00DF0811"/>
    <w:rsid w:val="00E213B0"/>
    <w:rsid w:val="00E33CE3"/>
    <w:rsid w:val="00E471FC"/>
    <w:rsid w:val="00E60838"/>
    <w:rsid w:val="00E81BC9"/>
    <w:rsid w:val="00E94FCC"/>
    <w:rsid w:val="00E95B02"/>
    <w:rsid w:val="00EA1F8F"/>
    <w:rsid w:val="00EA4473"/>
    <w:rsid w:val="00EB0E0E"/>
    <w:rsid w:val="00ED24DE"/>
    <w:rsid w:val="00EE626D"/>
    <w:rsid w:val="00EE6E5F"/>
    <w:rsid w:val="00EF2F89"/>
    <w:rsid w:val="00F23061"/>
    <w:rsid w:val="00F27ACF"/>
    <w:rsid w:val="00F4759A"/>
    <w:rsid w:val="00F633EF"/>
    <w:rsid w:val="00F72EBC"/>
    <w:rsid w:val="00F7344A"/>
    <w:rsid w:val="00F75A84"/>
    <w:rsid w:val="00FC1614"/>
    <w:rsid w:val="00FE3027"/>
    <w:rsid w:val="00FE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1D8F"/>
  <w15:docId w15:val="{99525990-236A-4D05-A564-9D6318FA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pl-PL" w:bidi="ar-SA"/>
      </w:rPr>
    </w:rPrDefault>
    <w:pPrDefault>
      <w:pPr>
        <w:autoSpaceDN w:val="0"/>
        <w:spacing w:after="120"/>
        <w:ind w:left="34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94942"/>
  </w:style>
  <w:style w:type="paragraph" w:styleId="Nagwek1">
    <w:name w:val="heading 1"/>
    <w:basedOn w:val="Normalny"/>
    <w:next w:val="Normalny"/>
    <w:pPr>
      <w:keepNext/>
      <w:jc w:val="center"/>
      <w:outlineLvl w:val="0"/>
    </w:pPr>
    <w:rPr>
      <w:b/>
      <w:sz w:val="48"/>
    </w:rPr>
  </w:style>
  <w:style w:type="paragraph" w:styleId="Nagwek2">
    <w:name w:val="heading 2"/>
    <w:basedOn w:val="Normalny"/>
    <w:next w:val="Normalny"/>
    <w:pPr>
      <w:keepNext/>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style>
  <w:style w:type="paragraph" w:styleId="Tekstdymka">
    <w:name w:val="Balloon Text"/>
    <w:basedOn w:val="Normalny"/>
    <w:rPr>
      <w:rFonts w:ascii="Tahoma" w:hAnsi="Tahoma" w:cs="Tahoma"/>
      <w:sz w:val="16"/>
      <w:szCs w:val="16"/>
    </w:rPr>
  </w:style>
  <w:style w:type="character" w:customStyle="1" w:styleId="Teksttreci4">
    <w:name w:val="Tekst treści (4)_"/>
    <w:rPr>
      <w:b/>
      <w:bCs/>
      <w:i/>
      <w:iCs/>
      <w:sz w:val="18"/>
      <w:szCs w:val="18"/>
      <w:shd w:val="clear" w:color="auto" w:fill="FFFFFF"/>
    </w:rPr>
  </w:style>
  <w:style w:type="paragraph" w:customStyle="1" w:styleId="Teksttreci40">
    <w:name w:val="Tekst treści (4)"/>
    <w:basedOn w:val="Normalny"/>
    <w:pPr>
      <w:widowControl w:val="0"/>
      <w:shd w:val="clear" w:color="auto" w:fill="FFFFFF"/>
      <w:spacing w:before="120" w:after="540" w:line="0" w:lineRule="atLeast"/>
    </w:pPr>
    <w:rPr>
      <w:b/>
      <w:bCs/>
      <w:i/>
      <w:iCs/>
      <w:sz w:val="18"/>
      <w:szCs w:val="18"/>
    </w:rPr>
  </w:style>
  <w:style w:type="character" w:customStyle="1" w:styleId="Teksttreci10pt">
    <w:name w:val="Tekst treści + 10 pt"/>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pl-PL" w:eastAsia="pl-PL" w:bidi="pl-PL"/>
    </w:rPr>
  </w:style>
  <w:style w:type="character" w:customStyle="1" w:styleId="Teksttreci">
    <w:name w:val="Tekst treści"/>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pl-PL" w:eastAsia="pl-PL" w:bidi="pl-PL"/>
    </w:rPr>
  </w:style>
  <w:style w:type="character" w:styleId="Hipercze">
    <w:name w:val="Hyperlink"/>
    <w:rPr>
      <w:color w:val="0000FF"/>
      <w:u w:val="single"/>
    </w:rPr>
  </w:style>
  <w:style w:type="paragraph" w:styleId="NormalnyWeb">
    <w:name w:val="Normal (Web)"/>
    <w:basedOn w:val="Normalny"/>
    <w:pPr>
      <w:spacing w:before="100" w:after="100"/>
    </w:pPr>
  </w:style>
  <w:style w:type="character" w:styleId="Pogrubienie">
    <w:name w:val="Strong"/>
    <w:uiPriority w:val="22"/>
    <w:qFormat/>
    <w:rPr>
      <w:b/>
      <w:bCs/>
    </w:rPr>
  </w:style>
  <w:style w:type="character" w:customStyle="1" w:styleId="apple-converted-space">
    <w:name w:val="apple-converted-space"/>
  </w:style>
  <w:style w:type="paragraph" w:styleId="Tekstprzypisukocowego">
    <w:name w:val="endnote text"/>
    <w:basedOn w:val="Normalny"/>
  </w:style>
  <w:style w:type="character" w:customStyle="1" w:styleId="TekstprzypisukocowegoZnak">
    <w:name w:val="Tekst przypisu końcowego Znak"/>
    <w:basedOn w:val="Domylnaczcionkaakapitu"/>
  </w:style>
  <w:style w:type="character" w:styleId="Odwoanieprzypisukocowego">
    <w:name w:val="endnote reference"/>
    <w:basedOn w:val="Domylnaczcionkaakapitu"/>
    <w:rPr>
      <w:position w:val="0"/>
      <w:vertAlign w:val="superscript"/>
    </w:rPr>
  </w:style>
  <w:style w:type="paragraph" w:styleId="Akapitzlist">
    <w:name w:val="List Paragraph"/>
    <w:basedOn w:val="Normalny"/>
    <w:uiPriority w:val="34"/>
    <w:qFormat/>
    <w:rsid w:val="004A55E3"/>
    <w:pPr>
      <w:ind w:left="720"/>
      <w:contextualSpacing/>
    </w:pPr>
  </w:style>
  <w:style w:type="paragraph" w:customStyle="1" w:styleId="Default">
    <w:name w:val="Default"/>
    <w:rsid w:val="00C458C2"/>
    <w:pPr>
      <w:autoSpaceDE w:val="0"/>
      <w:adjustRightInd w:val="0"/>
      <w:textAlignment w:val="auto"/>
    </w:pPr>
    <w:rPr>
      <w:color w:val="000000"/>
    </w:rPr>
  </w:style>
  <w:style w:type="character" w:customStyle="1" w:styleId="Ppogrubienie">
    <w:name w:val="_P_ – pogrubienie"/>
    <w:basedOn w:val="Domylnaczcionkaakapitu"/>
    <w:uiPriority w:val="99"/>
    <w:qFormat/>
    <w:rsid w:val="00D91415"/>
    <w:rPr>
      <w:b/>
    </w:rPr>
  </w:style>
  <w:style w:type="paragraph" w:styleId="Nagwek">
    <w:name w:val="header"/>
    <w:basedOn w:val="Normalny"/>
    <w:link w:val="NagwekZnak"/>
    <w:uiPriority w:val="99"/>
    <w:unhideWhenUsed/>
    <w:rsid w:val="005A09A0"/>
    <w:pPr>
      <w:tabs>
        <w:tab w:val="center" w:pos="4536"/>
        <w:tab w:val="right" w:pos="9072"/>
      </w:tabs>
    </w:pPr>
  </w:style>
  <w:style w:type="character" w:customStyle="1" w:styleId="NagwekZnak">
    <w:name w:val="Nagłówek Znak"/>
    <w:basedOn w:val="Domylnaczcionkaakapitu"/>
    <w:link w:val="Nagwek"/>
    <w:uiPriority w:val="99"/>
    <w:rsid w:val="005A09A0"/>
  </w:style>
  <w:style w:type="paragraph" w:styleId="Stopka">
    <w:name w:val="footer"/>
    <w:basedOn w:val="Normalny"/>
    <w:link w:val="StopkaZnak"/>
    <w:uiPriority w:val="99"/>
    <w:unhideWhenUsed/>
    <w:rsid w:val="005A09A0"/>
    <w:pPr>
      <w:tabs>
        <w:tab w:val="center" w:pos="4536"/>
        <w:tab w:val="right" w:pos="9072"/>
      </w:tabs>
    </w:pPr>
  </w:style>
  <w:style w:type="character" w:customStyle="1" w:styleId="StopkaZnak">
    <w:name w:val="Stopka Znak"/>
    <w:basedOn w:val="Domylnaczcionkaakapitu"/>
    <w:link w:val="Stopka"/>
    <w:uiPriority w:val="99"/>
    <w:rsid w:val="005A0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207">
      <w:bodyDiv w:val="1"/>
      <w:marLeft w:val="0"/>
      <w:marRight w:val="0"/>
      <w:marTop w:val="0"/>
      <w:marBottom w:val="0"/>
      <w:divBdr>
        <w:top w:val="none" w:sz="0" w:space="0" w:color="auto"/>
        <w:left w:val="none" w:sz="0" w:space="0" w:color="auto"/>
        <w:bottom w:val="none" w:sz="0" w:space="0" w:color="auto"/>
        <w:right w:val="none" w:sz="0" w:space="0" w:color="auto"/>
      </w:divBdr>
    </w:div>
    <w:div w:id="979260991">
      <w:bodyDiv w:val="1"/>
      <w:marLeft w:val="0"/>
      <w:marRight w:val="0"/>
      <w:marTop w:val="0"/>
      <w:marBottom w:val="0"/>
      <w:divBdr>
        <w:top w:val="none" w:sz="0" w:space="0" w:color="auto"/>
        <w:left w:val="none" w:sz="0" w:space="0" w:color="auto"/>
        <w:bottom w:val="none" w:sz="0" w:space="0" w:color="auto"/>
        <w:right w:val="none" w:sz="0" w:space="0" w:color="auto"/>
      </w:divBdr>
    </w:div>
    <w:div w:id="1537500480">
      <w:bodyDiv w:val="1"/>
      <w:marLeft w:val="0"/>
      <w:marRight w:val="0"/>
      <w:marTop w:val="0"/>
      <w:marBottom w:val="0"/>
      <w:divBdr>
        <w:top w:val="none" w:sz="0" w:space="0" w:color="auto"/>
        <w:left w:val="none" w:sz="0" w:space="0" w:color="auto"/>
        <w:bottom w:val="none" w:sz="0" w:space="0" w:color="auto"/>
        <w:right w:val="none" w:sz="0" w:space="0" w:color="auto"/>
      </w:divBdr>
    </w:div>
    <w:div w:id="1969627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Druki%20pracownicze\szablon%20pisma%20202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 pisma 2023</Template>
  <TotalTime>1</TotalTime>
  <Pages>2</Pages>
  <Words>547</Words>
  <Characters>3288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honorata</dc:creator>
  <cp:lastModifiedBy>Patrycja Rajsner</cp:lastModifiedBy>
  <cp:revision>2</cp:revision>
  <cp:lastPrinted>2026-01-22T10:00:00Z</cp:lastPrinted>
  <dcterms:created xsi:type="dcterms:W3CDTF">2026-02-17T14:26:00Z</dcterms:created>
  <dcterms:modified xsi:type="dcterms:W3CDTF">2026-02-17T14:26:00Z</dcterms:modified>
</cp:coreProperties>
</file>