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4E60" w14:textId="77777777" w:rsidR="00152655" w:rsidRPr="00AE1366" w:rsidRDefault="00152655" w:rsidP="00152655">
      <w:pPr>
        <w:pStyle w:val="ARTartustawynprozporzdzenia"/>
        <w:spacing w:before="0" w:line="276" w:lineRule="auto"/>
        <w:ind w:firstLine="0"/>
        <w:rPr>
          <w:rStyle w:val="Ppogrubienie"/>
          <w:rFonts w:ascii="Arial" w:hAnsi="Arial"/>
          <w:sz w:val="20"/>
        </w:rPr>
      </w:pPr>
    </w:p>
    <w:p w14:paraId="640914C7" w14:textId="56C9AB88" w:rsidR="000442CA" w:rsidRDefault="00621F6E" w:rsidP="00C113B5">
      <w:pPr>
        <w:pStyle w:val="ARTartustawynprozporzdzenia"/>
        <w:spacing w:before="0"/>
        <w:ind w:firstLine="0"/>
        <w:jc w:val="center"/>
        <w:rPr>
          <w:rStyle w:val="Ppogrubienie"/>
          <w:rFonts w:ascii="Arial" w:hAnsi="Arial"/>
          <w:szCs w:val="24"/>
        </w:rPr>
      </w:pPr>
      <w:r w:rsidRPr="00C113B5">
        <w:rPr>
          <w:rStyle w:val="Ppogrubienie"/>
          <w:rFonts w:ascii="Arial" w:hAnsi="Arial"/>
          <w:szCs w:val="24"/>
        </w:rPr>
        <w:t>Informacja</w:t>
      </w:r>
      <w:r w:rsidR="000442CA" w:rsidRPr="00C113B5">
        <w:rPr>
          <w:rStyle w:val="Ppogrubienie"/>
          <w:rFonts w:ascii="Arial" w:hAnsi="Arial"/>
          <w:szCs w:val="24"/>
        </w:rPr>
        <w:t xml:space="preserve"> dot. refundacji kosztów wyposażenia lub doposażenia stanowiska pracy</w:t>
      </w:r>
    </w:p>
    <w:p w14:paraId="53BB1F92" w14:textId="77777777" w:rsidR="00C113B5" w:rsidRPr="00C113B5" w:rsidRDefault="00C113B5" w:rsidP="00C113B5">
      <w:pPr>
        <w:pStyle w:val="ARTartustawynprozporzdzenia"/>
        <w:spacing w:before="0"/>
        <w:ind w:firstLine="0"/>
        <w:jc w:val="center"/>
        <w:rPr>
          <w:rStyle w:val="Ppogrubienie"/>
          <w:rFonts w:ascii="Arial" w:hAnsi="Arial"/>
          <w:szCs w:val="24"/>
        </w:rPr>
      </w:pPr>
    </w:p>
    <w:p w14:paraId="6B2B85E9" w14:textId="2E2AC199" w:rsidR="00152655" w:rsidRPr="0075523E" w:rsidRDefault="00F33A24" w:rsidP="0075523E">
      <w:pPr>
        <w:pStyle w:val="Bezodstpw"/>
        <w:shd w:val="clear" w:color="auto" w:fill="FFFFFF" w:themeFill="background1"/>
        <w:rPr>
          <w:rFonts w:ascii="Arial" w:hAnsi="Arial" w:cs="Arial"/>
          <w:b/>
          <w:color w:val="000000" w:themeColor="text1"/>
        </w:rPr>
      </w:pPr>
      <w:r w:rsidRPr="0075523E">
        <w:rPr>
          <w:rFonts w:ascii="Arial" w:hAnsi="Arial" w:cs="Arial"/>
          <w:b/>
          <w:color w:val="000000" w:themeColor="text1"/>
        </w:rPr>
        <w:t xml:space="preserve">I. </w:t>
      </w:r>
      <w:r w:rsidR="00AE1366" w:rsidRPr="0075523E">
        <w:rPr>
          <w:rFonts w:ascii="Arial" w:hAnsi="Arial" w:cs="Arial"/>
          <w:b/>
          <w:color w:val="000000" w:themeColor="text1"/>
        </w:rPr>
        <w:t>Wnioski o refundację kosztów wyposażenia lub doposażenia stanowiska pracy, mogą ubiegać się p</w:t>
      </w:r>
      <w:r w:rsidRPr="0075523E">
        <w:rPr>
          <w:rFonts w:ascii="Arial" w:hAnsi="Arial" w:cs="Arial"/>
          <w:b/>
          <w:color w:val="000000" w:themeColor="text1"/>
        </w:rPr>
        <w:t>odmioty, którym można zrefundować koszty poniesione na utworzenie stanowiska pracy</w:t>
      </w:r>
      <w:r w:rsidR="00692450" w:rsidRPr="0075523E">
        <w:rPr>
          <w:rFonts w:ascii="Arial" w:hAnsi="Arial" w:cs="Arial"/>
          <w:b/>
          <w:color w:val="000000" w:themeColor="text1"/>
        </w:rPr>
        <w:t>:</w:t>
      </w:r>
    </w:p>
    <w:p w14:paraId="7F550453" w14:textId="77777777" w:rsidR="00F33A24" w:rsidRPr="0075523E" w:rsidRDefault="00F33A24" w:rsidP="0075523E">
      <w:pPr>
        <w:pStyle w:val="Bezodstpw"/>
        <w:shd w:val="clear" w:color="auto" w:fill="FFFFFF" w:themeFill="background1"/>
        <w:rPr>
          <w:b/>
          <w:color w:val="000000" w:themeColor="text1"/>
        </w:rPr>
      </w:pPr>
    </w:p>
    <w:p w14:paraId="7FBD2849" w14:textId="1CC912F3" w:rsidR="00152655" w:rsidRPr="0075523E" w:rsidRDefault="00807D28" w:rsidP="0075523E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5523E">
        <w:rPr>
          <w:rFonts w:ascii="Arial" w:hAnsi="Arial" w:cs="Arial"/>
          <w:color w:val="000000" w:themeColor="text1"/>
          <w:sz w:val="18"/>
          <w:szCs w:val="18"/>
        </w:rPr>
        <w:t>Przedsiębiorcy,</w:t>
      </w:r>
    </w:p>
    <w:p w14:paraId="223ED3C6" w14:textId="1D0798B2" w:rsidR="00105272" w:rsidRPr="00105272" w:rsidRDefault="00D92BDF" w:rsidP="00105272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</w:t>
      </w:r>
      <w:r w:rsidRPr="0075523E">
        <w:rPr>
          <w:rFonts w:ascii="Arial" w:hAnsi="Arial" w:cs="Arial"/>
          <w:color w:val="000000" w:themeColor="text1"/>
          <w:sz w:val="18"/>
          <w:szCs w:val="18"/>
        </w:rPr>
        <w:t>iepubliczne szkoły</w:t>
      </w:r>
      <w:r>
        <w:rPr>
          <w:rFonts w:ascii="Arial" w:hAnsi="Arial" w:cs="Arial"/>
          <w:color w:val="000000" w:themeColor="text1"/>
          <w:sz w:val="18"/>
          <w:szCs w:val="18"/>
        </w:rPr>
        <w:t>, n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>iepubliczne przedszkola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lub i</w:t>
      </w:r>
      <w:r w:rsidR="00105272" w:rsidRPr="00105272">
        <w:rPr>
          <w:rFonts w:ascii="Arial" w:hAnsi="Arial" w:cs="Arial"/>
          <w:color w:val="000000" w:themeColor="text1"/>
          <w:sz w:val="18"/>
          <w:szCs w:val="18"/>
        </w:rPr>
        <w:t>nne formy wychowania przedszkolnego, jeśli działają w oparciu o U</w:t>
      </w:r>
      <w:r>
        <w:rPr>
          <w:rFonts w:ascii="Arial" w:hAnsi="Arial" w:cs="Arial"/>
          <w:color w:val="000000" w:themeColor="text1"/>
          <w:sz w:val="18"/>
          <w:szCs w:val="18"/>
        </w:rPr>
        <w:t>stawę -</w:t>
      </w:r>
      <w:r w:rsidR="00105272" w:rsidRPr="00105272">
        <w:rPr>
          <w:rFonts w:ascii="Arial" w:hAnsi="Arial" w:cs="Arial"/>
          <w:color w:val="000000" w:themeColor="text1"/>
          <w:sz w:val="18"/>
          <w:szCs w:val="18"/>
        </w:rPr>
        <w:t xml:space="preserve"> Prawo Oświatowe;</w:t>
      </w:r>
    </w:p>
    <w:p w14:paraId="4C6F6233" w14:textId="5BFDA10D" w:rsidR="00807D28" w:rsidRPr="00D92BDF" w:rsidRDefault="00105272" w:rsidP="00D92BDF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 w:rsidRPr="00D92BDF">
        <w:rPr>
          <w:rFonts w:ascii="Arial" w:hAnsi="Arial" w:cs="Arial"/>
          <w:color w:val="000000" w:themeColor="text1"/>
          <w:sz w:val="18"/>
          <w:szCs w:val="18"/>
        </w:rPr>
        <w:t>O</w:t>
      </w:r>
      <w:r w:rsidR="00807D28" w:rsidRPr="00D92BDF">
        <w:rPr>
          <w:rFonts w:ascii="Arial" w:hAnsi="Arial" w:cs="Arial"/>
          <w:color w:val="000000" w:themeColor="text1"/>
          <w:sz w:val="18"/>
          <w:szCs w:val="18"/>
        </w:rPr>
        <w:t>soba fizyczna</w:t>
      </w:r>
      <w:r w:rsidR="00CF7753" w:rsidRPr="00D92BDF">
        <w:rPr>
          <w:rFonts w:ascii="Arial" w:hAnsi="Arial" w:cs="Arial"/>
          <w:color w:val="000000" w:themeColor="text1"/>
          <w:sz w:val="18"/>
          <w:szCs w:val="18"/>
        </w:rPr>
        <w:t>;</w:t>
      </w:r>
      <w:r w:rsidR="00B347E7" w:rsidRPr="00D92BDF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14:paraId="619F8497" w14:textId="3D2F2F70" w:rsidR="00807D28" w:rsidRPr="0075523E" w:rsidRDefault="00105272" w:rsidP="0075523E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>soba prawna</w:t>
      </w:r>
      <w:r w:rsidR="00CF7753" w:rsidRPr="0075523E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529FCC07" w14:textId="4C4DE69A" w:rsidR="00807D28" w:rsidRPr="0075523E" w:rsidRDefault="00105272" w:rsidP="0075523E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J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>ednostka organizacyjna nieposiadająca osobowości prawnej</w:t>
      </w:r>
      <w:r w:rsidR="00CF7753" w:rsidRPr="0075523E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2B28FF1B" w14:textId="52D37A63" w:rsidR="00807D28" w:rsidRPr="0075523E" w:rsidRDefault="00105272" w:rsidP="0075523E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>osiadacz gospodarstwa rolnego</w:t>
      </w:r>
      <w:r w:rsidR="00CF7753" w:rsidRPr="0075523E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2ABC15FC" w14:textId="372179D8" w:rsidR="00807D28" w:rsidRDefault="00105272" w:rsidP="0075523E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>roducent r</w:t>
      </w:r>
      <w:r w:rsidR="00F33A24" w:rsidRPr="0075523E">
        <w:rPr>
          <w:rFonts w:ascii="Arial" w:hAnsi="Arial" w:cs="Arial"/>
          <w:color w:val="000000" w:themeColor="text1"/>
          <w:sz w:val="18"/>
          <w:szCs w:val="18"/>
        </w:rPr>
        <w:t>olny (prowadzący dział specjalny</w:t>
      </w:r>
      <w:r w:rsidR="00807D28" w:rsidRPr="0075523E">
        <w:rPr>
          <w:rFonts w:ascii="Arial" w:hAnsi="Arial" w:cs="Arial"/>
          <w:color w:val="000000" w:themeColor="text1"/>
          <w:sz w:val="18"/>
          <w:szCs w:val="18"/>
        </w:rPr>
        <w:t xml:space="preserve"> produkcji rolnej)</w:t>
      </w:r>
      <w:r w:rsidR="00CF7753" w:rsidRPr="0075523E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455CF965" w14:textId="7D4BB748" w:rsidR="0048675B" w:rsidRPr="00DE46D2" w:rsidRDefault="0048675B" w:rsidP="0048675B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</w:rPr>
        <w:t>Ż</w:t>
      </w:r>
      <w:r w:rsidRPr="00DE46D2">
        <w:rPr>
          <w:rFonts w:ascii="Arial" w:hAnsi="Arial" w:cs="Arial"/>
          <w:color w:val="000000" w:themeColor="text1"/>
          <w:sz w:val="18"/>
        </w:rPr>
        <w:t>łobk</w:t>
      </w:r>
      <w:r>
        <w:rPr>
          <w:rFonts w:ascii="Arial" w:hAnsi="Arial" w:cs="Arial"/>
          <w:color w:val="000000" w:themeColor="text1"/>
          <w:sz w:val="18"/>
        </w:rPr>
        <w:t>i</w:t>
      </w:r>
      <w:r w:rsidRPr="00DE46D2">
        <w:rPr>
          <w:rFonts w:ascii="Arial" w:hAnsi="Arial" w:cs="Arial"/>
          <w:color w:val="000000" w:themeColor="text1"/>
          <w:sz w:val="18"/>
        </w:rPr>
        <w:t xml:space="preserve"> lub klub</w:t>
      </w:r>
      <w:r>
        <w:rPr>
          <w:rFonts w:ascii="Arial" w:hAnsi="Arial" w:cs="Arial"/>
          <w:color w:val="000000" w:themeColor="text1"/>
          <w:sz w:val="18"/>
        </w:rPr>
        <w:t>y</w:t>
      </w:r>
      <w:r w:rsidRPr="00DE46D2">
        <w:rPr>
          <w:rFonts w:ascii="Arial" w:hAnsi="Arial" w:cs="Arial"/>
          <w:color w:val="000000" w:themeColor="text1"/>
          <w:sz w:val="18"/>
        </w:rPr>
        <w:t xml:space="preserve"> dziecięc</w:t>
      </w:r>
      <w:r>
        <w:rPr>
          <w:rFonts w:ascii="Arial" w:hAnsi="Arial" w:cs="Arial"/>
          <w:color w:val="000000" w:themeColor="text1"/>
          <w:sz w:val="18"/>
        </w:rPr>
        <w:t>e</w:t>
      </w:r>
      <w:r w:rsidRPr="00DE46D2">
        <w:rPr>
          <w:rFonts w:ascii="Arial" w:hAnsi="Arial" w:cs="Arial"/>
          <w:color w:val="000000" w:themeColor="text1"/>
          <w:sz w:val="18"/>
        </w:rPr>
        <w:t xml:space="preserve"> </w:t>
      </w:r>
      <w:r>
        <w:rPr>
          <w:rFonts w:ascii="Arial" w:hAnsi="Arial" w:cs="Arial"/>
          <w:color w:val="000000" w:themeColor="text1"/>
          <w:sz w:val="18"/>
        </w:rPr>
        <w:t xml:space="preserve">sprawujące opiekę nad dziećmi niepełnosprawnymi lub prowadzące dla nich zajęcia; </w:t>
      </w:r>
    </w:p>
    <w:p w14:paraId="385A7231" w14:textId="35C70A76" w:rsidR="0048675B" w:rsidRPr="0048675B" w:rsidRDefault="0048675B" w:rsidP="0048675B">
      <w:pPr>
        <w:pStyle w:val="Akapitzlist"/>
        <w:numPr>
          <w:ilvl w:val="0"/>
          <w:numId w:val="19"/>
        </w:numPr>
        <w:shd w:val="clear" w:color="auto" w:fill="FFFFFF" w:themeFill="background1"/>
        <w:spacing w:after="200" w:line="480" w:lineRule="auto"/>
        <w:rPr>
          <w:rFonts w:ascii="Arial" w:hAnsi="Arial" w:cs="Arial"/>
          <w:color w:val="000000" w:themeColor="text1"/>
          <w:sz w:val="18"/>
        </w:rPr>
      </w:pPr>
      <w:r w:rsidRPr="00D24B1D">
        <w:rPr>
          <w:rFonts w:ascii="Arial" w:hAnsi="Arial" w:cs="Arial"/>
          <w:color w:val="000000" w:themeColor="text1"/>
          <w:sz w:val="18"/>
        </w:rPr>
        <w:t xml:space="preserve">Przedsiębiorcy lub przedsiębiorstwa społeczne, </w:t>
      </w:r>
      <w:r w:rsidR="00456C0B">
        <w:rPr>
          <w:rFonts w:ascii="Arial" w:hAnsi="Arial" w:cs="Arial"/>
          <w:color w:val="000000" w:themeColor="text1"/>
          <w:sz w:val="18"/>
        </w:rPr>
        <w:t xml:space="preserve">podmioty </w:t>
      </w:r>
      <w:r w:rsidRPr="00D24B1D">
        <w:rPr>
          <w:rFonts w:ascii="Arial" w:hAnsi="Arial" w:cs="Arial"/>
          <w:color w:val="000000" w:themeColor="text1"/>
          <w:sz w:val="18"/>
        </w:rPr>
        <w:t xml:space="preserve">prowadzące działalność polegającą na świadczeniu usług rehabilitacyjnych związanych bezpośrednio ze sprawowaniem opieki nad dziećmi niepełnosprawnymi lub prowadzeniem dla nich zajęć. </w:t>
      </w:r>
    </w:p>
    <w:p w14:paraId="3951D30A" w14:textId="24269ECF" w:rsidR="00AE1366" w:rsidRPr="0075523E" w:rsidRDefault="00807D28" w:rsidP="0075523E">
      <w:pPr>
        <w:pStyle w:val="Bezodstpw"/>
        <w:shd w:val="clear" w:color="auto" w:fill="FFFFFF" w:themeFill="background1"/>
        <w:rPr>
          <w:rFonts w:ascii="Arial" w:hAnsi="Arial" w:cs="Arial"/>
          <w:color w:val="000000" w:themeColor="text1"/>
          <w:sz w:val="18"/>
        </w:rPr>
      </w:pPr>
      <w:r w:rsidRPr="0075523E">
        <w:rPr>
          <w:rFonts w:ascii="Arial" w:hAnsi="Arial" w:cs="Arial"/>
          <w:color w:val="000000" w:themeColor="text1"/>
          <w:sz w:val="18"/>
        </w:rPr>
        <w:t>Starosta może</w:t>
      </w:r>
      <w:r w:rsidR="00D83338" w:rsidRPr="0075523E">
        <w:rPr>
          <w:rFonts w:ascii="Arial" w:hAnsi="Arial" w:cs="Arial"/>
          <w:color w:val="000000" w:themeColor="text1"/>
          <w:sz w:val="18"/>
        </w:rPr>
        <w:t xml:space="preserve"> zrefundo</w:t>
      </w:r>
      <w:r w:rsidR="00A82FC9" w:rsidRPr="0075523E">
        <w:rPr>
          <w:rFonts w:ascii="Arial" w:hAnsi="Arial" w:cs="Arial"/>
          <w:color w:val="000000" w:themeColor="text1"/>
          <w:sz w:val="18"/>
        </w:rPr>
        <w:t>wać koszty wyposażenia</w:t>
      </w:r>
      <w:r w:rsidRPr="0075523E">
        <w:rPr>
          <w:rFonts w:ascii="Arial" w:hAnsi="Arial" w:cs="Arial"/>
          <w:color w:val="000000" w:themeColor="text1"/>
          <w:sz w:val="18"/>
        </w:rPr>
        <w:t xml:space="preserve"> </w:t>
      </w:r>
      <w:r w:rsidR="00A82FC9" w:rsidRPr="0075523E">
        <w:rPr>
          <w:rFonts w:ascii="Arial" w:hAnsi="Arial" w:cs="Arial"/>
          <w:color w:val="000000" w:themeColor="text1"/>
          <w:sz w:val="18"/>
        </w:rPr>
        <w:t>lub doposażenia</w:t>
      </w:r>
      <w:r w:rsidRPr="0075523E">
        <w:rPr>
          <w:rFonts w:ascii="Arial" w:hAnsi="Arial" w:cs="Arial"/>
          <w:color w:val="000000" w:themeColor="text1"/>
          <w:sz w:val="18"/>
        </w:rPr>
        <w:t xml:space="preserve"> </w:t>
      </w:r>
      <w:r w:rsidR="00A82FC9" w:rsidRPr="0075523E">
        <w:rPr>
          <w:rFonts w:ascii="Arial" w:hAnsi="Arial" w:cs="Arial"/>
          <w:color w:val="000000" w:themeColor="text1"/>
          <w:sz w:val="18"/>
        </w:rPr>
        <w:t xml:space="preserve">stanowiska pracy dla </w:t>
      </w:r>
      <w:r w:rsidRPr="0075523E">
        <w:rPr>
          <w:rFonts w:ascii="Arial" w:hAnsi="Arial" w:cs="Arial"/>
          <w:color w:val="000000" w:themeColor="text1"/>
          <w:sz w:val="18"/>
        </w:rPr>
        <w:t>skierowanego</w:t>
      </w:r>
      <w:r w:rsidR="00D83338" w:rsidRPr="0075523E">
        <w:rPr>
          <w:rFonts w:ascii="Arial" w:hAnsi="Arial" w:cs="Arial"/>
          <w:color w:val="000000" w:themeColor="text1"/>
          <w:sz w:val="18"/>
        </w:rPr>
        <w:t xml:space="preserve"> bezrobotnego lub skierowan</w:t>
      </w:r>
      <w:r w:rsidR="00A82FC9" w:rsidRPr="0075523E">
        <w:rPr>
          <w:rFonts w:ascii="Arial" w:hAnsi="Arial" w:cs="Arial"/>
          <w:color w:val="000000" w:themeColor="text1"/>
          <w:sz w:val="18"/>
        </w:rPr>
        <w:t>ego poszukującego pracy</w:t>
      </w:r>
      <w:r w:rsidR="00344E9D">
        <w:rPr>
          <w:rFonts w:ascii="Arial" w:hAnsi="Arial" w:cs="Arial"/>
          <w:color w:val="000000" w:themeColor="text1"/>
          <w:sz w:val="18"/>
        </w:rPr>
        <w:t>*</w:t>
      </w:r>
      <w:r w:rsidR="00A82FC9" w:rsidRPr="0075523E">
        <w:rPr>
          <w:rFonts w:ascii="Arial" w:hAnsi="Arial" w:cs="Arial"/>
          <w:color w:val="000000" w:themeColor="text1"/>
          <w:sz w:val="18"/>
        </w:rPr>
        <w:t xml:space="preserve">. </w:t>
      </w:r>
    </w:p>
    <w:p w14:paraId="0DD1D5C2" w14:textId="211DE05D" w:rsidR="00D92BDF" w:rsidRDefault="00344E9D" w:rsidP="00456C0B">
      <w:pPr>
        <w:pStyle w:val="Bezodstpw"/>
        <w:shd w:val="clear" w:color="auto" w:fill="FFFFFF" w:themeFill="background1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*</w:t>
      </w:r>
      <w:r w:rsidR="00A82FC9" w:rsidRPr="0075523E">
        <w:rPr>
          <w:rFonts w:ascii="Arial" w:hAnsi="Arial" w:cs="Arial"/>
          <w:color w:val="000000" w:themeColor="text1"/>
          <w:sz w:val="18"/>
        </w:rPr>
        <w:t>Poszukujący pracy niezatrudniony i niewykonujący innej pracy zarobkowej opiekun osoby niepełnosprawnej może korzystać na zasadach takich jak bezrobotny z form pomocy.</w:t>
      </w:r>
      <w:r w:rsidR="00D83338" w:rsidRPr="0075523E">
        <w:rPr>
          <w:rFonts w:ascii="Arial" w:hAnsi="Arial" w:cs="Arial"/>
          <w:color w:val="000000" w:themeColor="text1"/>
          <w:sz w:val="18"/>
        </w:rPr>
        <w:t xml:space="preserve"> </w:t>
      </w:r>
    </w:p>
    <w:p w14:paraId="2AE4C228" w14:textId="77777777" w:rsidR="00456C0B" w:rsidRDefault="00456C0B" w:rsidP="00456C0B">
      <w:pPr>
        <w:pStyle w:val="Bezodstpw"/>
        <w:shd w:val="clear" w:color="auto" w:fill="FFFFFF" w:themeFill="background1"/>
        <w:rPr>
          <w:rFonts w:ascii="Arial" w:hAnsi="Arial" w:cs="Arial"/>
          <w:color w:val="000000" w:themeColor="text1"/>
          <w:sz w:val="18"/>
        </w:rPr>
      </w:pPr>
    </w:p>
    <w:p w14:paraId="190F5DC1" w14:textId="2E18830A" w:rsidR="00D627B2" w:rsidRDefault="0048675B" w:rsidP="00407291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48675B">
        <w:rPr>
          <w:rFonts w:ascii="Arial" w:hAnsi="Arial" w:cs="Arial"/>
          <w:b/>
          <w:bCs/>
          <w:color w:val="000000" w:themeColor="text1"/>
          <w:sz w:val="20"/>
          <w:szCs w:val="20"/>
        </w:rPr>
        <w:t>II</w:t>
      </w:r>
      <w:r w:rsidR="00D627B2" w:rsidRPr="0048675B">
        <w:rPr>
          <w:rFonts w:ascii="Arial" w:hAnsi="Arial" w:cs="Arial"/>
          <w:b/>
          <w:bCs/>
          <w:color w:val="000000" w:themeColor="text1"/>
          <w:sz w:val="18"/>
        </w:rPr>
        <w:t>.</w:t>
      </w:r>
      <w:r w:rsidR="00D627B2" w:rsidRPr="00D627B2">
        <w:rPr>
          <w:rFonts w:ascii="Arial" w:hAnsi="Arial" w:cs="Arial"/>
          <w:color w:val="000000" w:themeColor="text1"/>
          <w:sz w:val="18"/>
        </w:rPr>
        <w:t xml:space="preserve"> </w:t>
      </w:r>
      <w:r w:rsidR="00D627B2" w:rsidRPr="00D627B2">
        <w:rPr>
          <w:rFonts w:ascii="Arial" w:hAnsi="Arial" w:cs="Arial"/>
          <w:b/>
          <w:bCs/>
        </w:rPr>
        <w:t xml:space="preserve">Limity dot. podziału środków z Funduszu Pracy, okres refundacji oraz warunki </w:t>
      </w:r>
      <w:r w:rsidR="00D627B2" w:rsidRPr="00D627B2">
        <w:rPr>
          <w:rFonts w:ascii="Arial" w:hAnsi="Arial" w:cs="Arial"/>
          <w:b/>
          <w:bCs/>
        </w:rPr>
        <w:br/>
        <w:t>dot. kierowania osób bezrobotnych/poszukujących pracy*</w:t>
      </w:r>
    </w:p>
    <w:p w14:paraId="16369281" w14:textId="77777777" w:rsidR="00407291" w:rsidRPr="00B73C1E" w:rsidRDefault="00407291" w:rsidP="00407291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48B32839" w14:textId="34D06161" w:rsidR="00A14EDE" w:rsidRDefault="00A14EDE" w:rsidP="00A14EDE">
      <w:pPr>
        <w:pStyle w:val="Akapitzlist"/>
        <w:numPr>
          <w:ilvl w:val="0"/>
          <w:numId w:val="1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Pracodawca składa wniosek o refundację kosztów wyposażenia lub doposażenia stanowiska pracy do PUP właściwego ze względu na swoją siedzibę lub ze względu na miejsce wykonywania pracy przez skierowanego b</w:t>
      </w:r>
      <w:r w:rsidR="00C93281">
        <w:rPr>
          <w:rFonts w:ascii="Arial" w:hAnsi="Arial" w:cs="Arial"/>
          <w:sz w:val="18"/>
          <w:szCs w:val="18"/>
        </w:rPr>
        <w:t>ezrobotnego/poszukującego pracy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45086CA" w14:textId="77777777" w:rsidR="00EE37FC" w:rsidRPr="00456C0B" w:rsidRDefault="00EE37FC" w:rsidP="00EE37FC">
      <w:pPr>
        <w:pStyle w:val="Akapitzlist"/>
        <w:numPr>
          <w:ilvl w:val="0"/>
          <w:numId w:val="14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456C0B">
        <w:rPr>
          <w:rFonts w:ascii="Arial" w:hAnsi="Arial" w:cs="Arial"/>
          <w:sz w:val="18"/>
          <w:szCs w:val="18"/>
        </w:rPr>
        <w:t>Osoby skierowane w ramach ww. wsparcia będą zatrudnione na podstawie umowy o pracę.</w:t>
      </w:r>
    </w:p>
    <w:p w14:paraId="5B41DE4B" w14:textId="33673287" w:rsidR="00456C0B" w:rsidRPr="00456C0B" w:rsidRDefault="005E2D01" w:rsidP="00456C0B">
      <w:pPr>
        <w:pStyle w:val="Akapitzlist"/>
        <w:numPr>
          <w:ilvl w:val="0"/>
          <w:numId w:val="14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456C0B">
        <w:rPr>
          <w:rFonts w:ascii="Arial" w:hAnsi="Arial" w:cs="Arial"/>
          <w:sz w:val="18"/>
          <w:szCs w:val="18"/>
        </w:rPr>
        <w:t xml:space="preserve">Przy kierowaniu na ww. wsparcie uwzględniana będzie częstotliwość korzystania z tej formy przez osobą bezrobotną poszukującą pracy. Dodatkowo będzie brana pod uwagę gospodarczość, efektywność i celowość kierowania. </w:t>
      </w:r>
    </w:p>
    <w:p w14:paraId="2A155D45" w14:textId="5B095E1B" w:rsidR="0048675B" w:rsidRPr="0048675B" w:rsidRDefault="0048675B" w:rsidP="0048675B">
      <w:pPr>
        <w:spacing w:line="276" w:lineRule="auto"/>
        <w:rPr>
          <w:rFonts w:ascii="Arial" w:hAnsi="Arial" w:cs="Arial"/>
          <w:b/>
          <w:bCs/>
        </w:rPr>
      </w:pPr>
      <w:r w:rsidRPr="0048675B">
        <w:rPr>
          <w:rFonts w:ascii="Arial" w:hAnsi="Arial" w:cs="Arial"/>
          <w:b/>
          <w:bCs/>
        </w:rPr>
        <w:t>III.</w:t>
      </w:r>
      <w:r>
        <w:rPr>
          <w:rFonts w:ascii="Arial" w:hAnsi="Arial" w:cs="Arial"/>
          <w:b/>
          <w:bCs/>
        </w:rPr>
        <w:t xml:space="preserve"> </w:t>
      </w:r>
      <w:r w:rsidRPr="0048675B">
        <w:rPr>
          <w:rFonts w:ascii="Arial" w:hAnsi="Arial" w:cs="Arial"/>
          <w:b/>
          <w:bCs/>
        </w:rPr>
        <w:t>Wysokość oraz warunki przyznania refundacji kosztów wyposażenia lub doposażenia stanowiska pracy.</w:t>
      </w:r>
    </w:p>
    <w:p w14:paraId="13430FC2" w14:textId="5F9B4C71" w:rsidR="00A14EDE" w:rsidRDefault="00D73A3C" w:rsidP="00EE37FC">
      <w:pPr>
        <w:pStyle w:val="Akapitzlist"/>
        <w:numPr>
          <w:ilvl w:val="0"/>
          <w:numId w:val="2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Proponowana kwota refundacji</w:t>
      </w:r>
      <w:r w:rsidR="004A208D">
        <w:rPr>
          <w:rFonts w:ascii="Arial" w:hAnsi="Arial" w:cs="Arial"/>
          <w:sz w:val="18"/>
          <w:szCs w:val="18"/>
        </w:rPr>
        <w:t xml:space="preserve"> do: </w:t>
      </w:r>
      <w:r w:rsidR="00C75B6F" w:rsidRPr="00C75B6F">
        <w:rPr>
          <w:rFonts w:ascii="Arial" w:hAnsi="Arial" w:cs="Arial"/>
          <w:b/>
          <w:bCs/>
          <w:sz w:val="18"/>
          <w:szCs w:val="18"/>
        </w:rPr>
        <w:t>35 000 zł</w:t>
      </w:r>
    </w:p>
    <w:p w14:paraId="7F7BDA79" w14:textId="644A1F11" w:rsidR="00A14EDE" w:rsidRPr="00C75B6F" w:rsidRDefault="008A75F3" w:rsidP="00C75B6F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C75B6F">
        <w:rPr>
          <w:rFonts w:ascii="Arial" w:hAnsi="Arial" w:cs="Arial"/>
          <w:sz w:val="18"/>
          <w:szCs w:val="18"/>
        </w:rPr>
        <w:t xml:space="preserve">trzymanie utworzonego stanowiska </w:t>
      </w:r>
      <w:r w:rsidR="00405AA9">
        <w:rPr>
          <w:rFonts w:ascii="Arial" w:hAnsi="Arial" w:cs="Arial"/>
          <w:sz w:val="18"/>
          <w:szCs w:val="18"/>
        </w:rPr>
        <w:t xml:space="preserve">pracy </w:t>
      </w:r>
      <w:r w:rsidR="00C75B6F">
        <w:rPr>
          <w:rFonts w:ascii="Arial" w:hAnsi="Arial" w:cs="Arial"/>
          <w:sz w:val="18"/>
          <w:szCs w:val="18"/>
        </w:rPr>
        <w:t xml:space="preserve">w ramach refundacji kosztów wyposażenia lub doposażenia </w:t>
      </w:r>
      <w:r>
        <w:rPr>
          <w:rFonts w:ascii="Arial" w:hAnsi="Arial" w:cs="Arial"/>
          <w:sz w:val="18"/>
          <w:szCs w:val="18"/>
        </w:rPr>
        <w:t xml:space="preserve">przez okres: </w:t>
      </w:r>
      <w:r w:rsidR="00D8453E">
        <w:rPr>
          <w:rFonts w:ascii="Arial" w:hAnsi="Arial" w:cs="Arial"/>
          <w:b/>
          <w:sz w:val="18"/>
          <w:szCs w:val="18"/>
        </w:rPr>
        <w:t>15</w:t>
      </w:r>
      <w:r w:rsidRPr="008A75F3">
        <w:rPr>
          <w:rFonts w:ascii="Arial" w:hAnsi="Arial" w:cs="Arial"/>
          <w:b/>
          <w:sz w:val="18"/>
          <w:szCs w:val="18"/>
        </w:rPr>
        <w:t xml:space="preserve"> miesięcy</w:t>
      </w:r>
      <w:r>
        <w:rPr>
          <w:rFonts w:ascii="Arial" w:hAnsi="Arial" w:cs="Arial"/>
          <w:sz w:val="18"/>
          <w:szCs w:val="18"/>
        </w:rPr>
        <w:t>.</w:t>
      </w:r>
    </w:p>
    <w:p w14:paraId="6C22EB21" w14:textId="24E80ECE" w:rsidR="00A14EDE" w:rsidRPr="00C75B6F" w:rsidRDefault="00A14EDE" w:rsidP="00C75B6F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C75B6F">
        <w:rPr>
          <w:rFonts w:ascii="Arial" w:hAnsi="Arial" w:cs="Arial"/>
          <w:sz w:val="18"/>
          <w:szCs w:val="18"/>
        </w:rPr>
        <w:lastRenderedPageBreak/>
        <w:t xml:space="preserve">Pracodawca nie może </w:t>
      </w:r>
      <w:r w:rsidR="00D73A3C" w:rsidRPr="00C75B6F">
        <w:rPr>
          <w:rFonts w:ascii="Arial" w:hAnsi="Arial" w:cs="Arial"/>
          <w:sz w:val="18"/>
          <w:szCs w:val="18"/>
        </w:rPr>
        <w:t xml:space="preserve">skorzystać z ww. formy wsparcia, </w:t>
      </w:r>
      <w:r w:rsidRPr="00C75B6F">
        <w:rPr>
          <w:rFonts w:ascii="Arial" w:hAnsi="Arial" w:cs="Arial"/>
          <w:sz w:val="18"/>
          <w:szCs w:val="18"/>
        </w:rPr>
        <w:t>jeśli</w:t>
      </w:r>
      <w:r w:rsidR="005E7749" w:rsidRPr="00C75B6F">
        <w:rPr>
          <w:rFonts w:ascii="Arial" w:hAnsi="Arial" w:cs="Arial"/>
          <w:sz w:val="18"/>
          <w:szCs w:val="18"/>
        </w:rPr>
        <w:t xml:space="preserve"> na dzień złożenia wniosku </w:t>
      </w:r>
      <w:r w:rsidRPr="00C75B6F">
        <w:rPr>
          <w:rFonts w:ascii="Arial" w:hAnsi="Arial" w:cs="Arial"/>
          <w:sz w:val="18"/>
          <w:szCs w:val="18"/>
        </w:rPr>
        <w:t xml:space="preserve">w okresie ostatnich 6 miesięcy rozwiązał umowę o pracę z przyczyn dotyczących zakładu pracy, zmniejszył stan zatrudnienia i wymiar czasu pracy z innych przyczyn i go nie uzupełnił. </w:t>
      </w:r>
    </w:p>
    <w:p w14:paraId="24DC5C1A" w14:textId="4CA9AB8A" w:rsidR="005E7749" w:rsidRPr="005E7749" w:rsidRDefault="005E7749" w:rsidP="00C75B6F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F37315">
        <w:rPr>
          <w:rFonts w:ascii="Arial" w:hAnsi="Arial" w:cs="Arial"/>
          <w:sz w:val="18"/>
          <w:szCs w:val="18"/>
        </w:rPr>
        <w:t xml:space="preserve">Pracodawca </w:t>
      </w:r>
      <w:r>
        <w:rPr>
          <w:rFonts w:ascii="Arial" w:hAnsi="Arial" w:cs="Arial"/>
          <w:sz w:val="18"/>
          <w:szCs w:val="18"/>
        </w:rPr>
        <w:t xml:space="preserve">– </w:t>
      </w:r>
      <w:r w:rsidR="00344E9D">
        <w:rPr>
          <w:rFonts w:ascii="Arial" w:hAnsi="Arial" w:cs="Arial"/>
          <w:sz w:val="18"/>
          <w:szCs w:val="18"/>
        </w:rPr>
        <w:t xml:space="preserve">przedsiębiorstwo społeczne, </w:t>
      </w:r>
      <w:r>
        <w:rPr>
          <w:rFonts w:ascii="Arial" w:hAnsi="Arial" w:cs="Arial"/>
          <w:sz w:val="18"/>
          <w:szCs w:val="18"/>
        </w:rPr>
        <w:t xml:space="preserve">żłobek lub klub dziecięcy lub podmiot świadczący usługi rehabilitacyjne </w:t>
      </w:r>
      <w:r w:rsidRPr="00F37315">
        <w:rPr>
          <w:rFonts w:ascii="Arial" w:hAnsi="Arial" w:cs="Arial"/>
          <w:sz w:val="18"/>
          <w:szCs w:val="18"/>
        </w:rPr>
        <w:t xml:space="preserve">nie może </w:t>
      </w:r>
      <w:r w:rsidR="00D73A3C">
        <w:rPr>
          <w:rFonts w:ascii="Arial" w:hAnsi="Arial" w:cs="Arial"/>
          <w:sz w:val="18"/>
          <w:szCs w:val="18"/>
        </w:rPr>
        <w:t xml:space="preserve">skorzystać z ww. formy wsparcia, </w:t>
      </w:r>
      <w:r w:rsidRPr="00F37315">
        <w:rPr>
          <w:rFonts w:ascii="Arial" w:hAnsi="Arial" w:cs="Arial"/>
          <w:sz w:val="18"/>
          <w:szCs w:val="18"/>
        </w:rPr>
        <w:t xml:space="preserve">jeśli </w:t>
      </w:r>
      <w:r>
        <w:rPr>
          <w:rFonts w:ascii="Arial" w:hAnsi="Arial" w:cs="Arial"/>
          <w:sz w:val="18"/>
          <w:szCs w:val="18"/>
        </w:rPr>
        <w:t xml:space="preserve">na dzień złożenia wniosku </w:t>
      </w:r>
      <w:r w:rsidRPr="00F37315">
        <w:rPr>
          <w:rFonts w:ascii="Arial" w:hAnsi="Arial" w:cs="Arial"/>
          <w:sz w:val="18"/>
          <w:szCs w:val="18"/>
        </w:rPr>
        <w:t xml:space="preserve">w okresie ostatnich 6 miesięcy </w:t>
      </w:r>
      <w:r>
        <w:rPr>
          <w:rFonts w:ascii="Arial" w:hAnsi="Arial" w:cs="Arial"/>
          <w:sz w:val="18"/>
          <w:szCs w:val="18"/>
        </w:rPr>
        <w:t xml:space="preserve">lub w okresie swojego funkcjonowania </w:t>
      </w:r>
      <w:r w:rsidRPr="00F37315">
        <w:rPr>
          <w:rFonts w:ascii="Arial" w:hAnsi="Arial" w:cs="Arial"/>
          <w:sz w:val="18"/>
          <w:szCs w:val="18"/>
        </w:rPr>
        <w:t xml:space="preserve">rozwiązał umowę o pracę z przyczyn dotyczących zakładu pracy, zmniejszył stan zatrudnienia i wymiar czasu pracy z innych przyczyn i go nie uzupełnił. </w:t>
      </w:r>
    </w:p>
    <w:p w14:paraId="4E210F63" w14:textId="434F9683" w:rsidR="005E7749" w:rsidRPr="005E7749" w:rsidRDefault="00A14EDE" w:rsidP="00C75B6F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F37315">
        <w:rPr>
          <w:rFonts w:ascii="Arial" w:hAnsi="Arial" w:cs="Arial"/>
          <w:sz w:val="18"/>
          <w:szCs w:val="18"/>
        </w:rPr>
        <w:t xml:space="preserve">Pracodawca nie </w:t>
      </w:r>
      <w:r w:rsidR="00D73A3C">
        <w:rPr>
          <w:rFonts w:ascii="Arial" w:hAnsi="Arial" w:cs="Arial"/>
          <w:sz w:val="18"/>
          <w:szCs w:val="18"/>
        </w:rPr>
        <w:t xml:space="preserve">może złożyć wniosku o ww. formę, </w:t>
      </w:r>
      <w:r w:rsidRPr="00F37315">
        <w:rPr>
          <w:rFonts w:ascii="Arial" w:hAnsi="Arial" w:cs="Arial"/>
          <w:sz w:val="18"/>
          <w:szCs w:val="18"/>
        </w:rPr>
        <w:t xml:space="preserve">jeśli w okresie ostatnich 6 miesięcy przed dniem złożenia wniosku nie wykonywał działalności gospodarczej, a w przypadku niepublicznego przedszkola lub niepublicznej szkoły, albo innej formy wychowania przedszkolnego </w:t>
      </w:r>
      <w:r w:rsidR="005E7749">
        <w:rPr>
          <w:rFonts w:ascii="Arial" w:hAnsi="Arial" w:cs="Arial"/>
          <w:sz w:val="18"/>
          <w:szCs w:val="18"/>
        </w:rPr>
        <w:t xml:space="preserve">nie </w:t>
      </w:r>
      <w:r w:rsidRPr="00F37315">
        <w:rPr>
          <w:rFonts w:ascii="Arial" w:hAnsi="Arial" w:cs="Arial"/>
          <w:sz w:val="18"/>
          <w:szCs w:val="18"/>
        </w:rPr>
        <w:t>prowadził działalno</w:t>
      </w:r>
      <w:r w:rsidR="005E7749">
        <w:rPr>
          <w:rFonts w:ascii="Arial" w:hAnsi="Arial" w:cs="Arial"/>
          <w:sz w:val="18"/>
          <w:szCs w:val="18"/>
        </w:rPr>
        <w:t>ści</w:t>
      </w:r>
      <w:r w:rsidRPr="00F37315">
        <w:rPr>
          <w:rFonts w:ascii="Arial" w:hAnsi="Arial" w:cs="Arial"/>
          <w:sz w:val="18"/>
          <w:szCs w:val="18"/>
        </w:rPr>
        <w:t xml:space="preserve"> na podstawie ustawy – Prawo oświatowe. </w:t>
      </w:r>
    </w:p>
    <w:p w14:paraId="43197B20" w14:textId="35C21E2C" w:rsidR="00405AA9" w:rsidRDefault="00A14EDE" w:rsidP="00405AA9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F37315">
        <w:rPr>
          <w:rFonts w:ascii="Arial" w:hAnsi="Arial" w:cs="Arial"/>
          <w:sz w:val="18"/>
          <w:szCs w:val="18"/>
        </w:rPr>
        <w:t xml:space="preserve">Pracodawca nie może </w:t>
      </w:r>
      <w:r w:rsidR="00D73A3C">
        <w:rPr>
          <w:rFonts w:ascii="Arial" w:hAnsi="Arial" w:cs="Arial"/>
          <w:sz w:val="18"/>
          <w:szCs w:val="18"/>
        </w:rPr>
        <w:t xml:space="preserve">skorzystać z ww. formy wsparcia, </w:t>
      </w:r>
      <w:r w:rsidRPr="00F37315">
        <w:rPr>
          <w:rFonts w:ascii="Arial" w:hAnsi="Arial" w:cs="Arial"/>
          <w:sz w:val="18"/>
          <w:szCs w:val="18"/>
        </w:rPr>
        <w:t>jeśli w okresie 12 miesięcy poprzedzających złożenie wniosku o refundację kosztów wyposażenia l</w:t>
      </w:r>
      <w:r w:rsidR="00D73A3C">
        <w:rPr>
          <w:rFonts w:ascii="Arial" w:hAnsi="Arial" w:cs="Arial"/>
          <w:sz w:val="18"/>
          <w:szCs w:val="18"/>
        </w:rPr>
        <w:t xml:space="preserve">ub doposażenia stanowiska pracy </w:t>
      </w:r>
      <w:r w:rsidRPr="00F37315">
        <w:rPr>
          <w:rFonts w:ascii="Arial" w:hAnsi="Arial" w:cs="Arial"/>
          <w:sz w:val="18"/>
          <w:szCs w:val="18"/>
        </w:rPr>
        <w:t>jako organizator stażu bez uzasadnionej przyczyny przerwał staż, bądź starosta, w skutek niedotrzymania warunków jego odbywania lub nierealizowania przez organizatora programu stażu przerwał dalszą jego realizację.</w:t>
      </w:r>
    </w:p>
    <w:p w14:paraId="70957E20" w14:textId="470DE518" w:rsidR="00456C0B" w:rsidRPr="00456C0B" w:rsidRDefault="00D8453E" w:rsidP="00456C0B">
      <w:pPr>
        <w:pStyle w:val="Akapitzlist"/>
        <w:numPr>
          <w:ilvl w:val="0"/>
          <w:numId w:val="28"/>
        </w:numPr>
        <w:spacing w:after="0" w:line="480" w:lineRule="auto"/>
        <w:rPr>
          <w:rFonts w:ascii="Arial" w:hAnsi="Arial" w:cs="Arial"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Przed oceną wniosków może być przeprowadzona wizytacja w prowadzonej działalności w związku z planowanym utworzeniem stanowiska pracy dla osoby bezrobotnej/poszukującej pracy celem sprawdzenia informacji zawartych we wniosku</w:t>
      </w:r>
      <w:r w:rsidR="00456C0B">
        <w:rPr>
          <w:rFonts w:ascii="Arial" w:hAnsi="Arial" w:cs="Arial"/>
          <w:bCs/>
          <w:sz w:val="18"/>
          <w:szCs w:val="18"/>
        </w:rPr>
        <w:t>.</w:t>
      </w:r>
    </w:p>
    <w:p w14:paraId="1E8E5F25" w14:textId="3CE16D90" w:rsidR="00405AA9" w:rsidRPr="00CE6801" w:rsidRDefault="00D8453E" w:rsidP="00405AA9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405AA9" w:rsidRPr="00CE6801">
        <w:rPr>
          <w:rFonts w:ascii="Arial" w:hAnsi="Arial" w:cs="Arial"/>
          <w:b/>
          <w:bCs/>
        </w:rPr>
        <w:t>. Realizacja umowy, rozliczenie, wydatkowanie środków, podatek VAT</w:t>
      </w:r>
    </w:p>
    <w:p w14:paraId="7DD5C295" w14:textId="4C246D64" w:rsidR="00684AA4" w:rsidRDefault="00321B65" w:rsidP="00405AA9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R</w:t>
      </w:r>
      <w:r w:rsidRPr="0075523E">
        <w:rPr>
          <w:rFonts w:ascii="Arial" w:hAnsi="Arial" w:cs="Arial"/>
          <w:color w:val="000000" w:themeColor="text1"/>
          <w:sz w:val="18"/>
        </w:rPr>
        <w:t xml:space="preserve">ozliczenie wydatków </w:t>
      </w:r>
      <w:r>
        <w:rPr>
          <w:rFonts w:ascii="Arial" w:hAnsi="Arial" w:cs="Arial"/>
          <w:color w:val="000000" w:themeColor="text1"/>
          <w:sz w:val="18"/>
        </w:rPr>
        <w:t>niezbędnych do wyposażenia lub doposażenia stanowiska pracy następuje na podstawie złożenia dokumentów potwierdzających doko</w:t>
      </w:r>
      <w:r w:rsidR="00684AA4">
        <w:rPr>
          <w:rFonts w:ascii="Arial" w:hAnsi="Arial" w:cs="Arial"/>
          <w:color w:val="000000" w:themeColor="text1"/>
          <w:sz w:val="18"/>
        </w:rPr>
        <w:t>n</w:t>
      </w:r>
      <w:r>
        <w:rPr>
          <w:rFonts w:ascii="Arial" w:hAnsi="Arial" w:cs="Arial"/>
          <w:color w:val="000000" w:themeColor="text1"/>
          <w:sz w:val="18"/>
        </w:rPr>
        <w:t xml:space="preserve">ane zakupy związane z utworzeniem stanowiska pracy </w:t>
      </w:r>
      <w:r w:rsidR="00684AA4">
        <w:rPr>
          <w:rFonts w:ascii="Arial" w:hAnsi="Arial" w:cs="Arial"/>
          <w:color w:val="000000" w:themeColor="text1"/>
          <w:sz w:val="18"/>
        </w:rPr>
        <w:t>dla skierowanego bezrobotnego/poszukującego pracy.</w:t>
      </w:r>
    </w:p>
    <w:p w14:paraId="09EE0F31" w14:textId="32148DEF" w:rsidR="00FE5CB9" w:rsidRPr="00456C0B" w:rsidRDefault="008A75F3" w:rsidP="00405AA9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sz w:val="18"/>
        </w:rPr>
      </w:pPr>
      <w:r w:rsidRPr="00456C0B">
        <w:rPr>
          <w:rFonts w:ascii="Arial" w:hAnsi="Arial" w:cs="Arial"/>
          <w:sz w:val="18"/>
        </w:rPr>
        <w:t xml:space="preserve">W przypadku, gdy przedsiębiorcy, w tym żłobkowi lub klubowymi dziecięcemu lub podmiotowi świadczącemu usługi rehabilitacyjne, przedsiębiorstwu społecznemu, niepublicznemu przedszkolu </w:t>
      </w:r>
      <w:r w:rsidR="00551171" w:rsidRPr="00456C0B">
        <w:rPr>
          <w:rFonts w:ascii="Arial" w:hAnsi="Arial" w:cs="Arial"/>
          <w:sz w:val="18"/>
        </w:rPr>
        <w:t>lub niepublicznej innej formie wychowania przedszkolnego, niepublicznej szkole lub producentowi rolnemu przysługuje prawo do obniżenia podatku od towarów i usług należnego o kwotę podatku naliczonego, refundacja obejmuje wydatki na wyposażenie lub doposażenie stanowiska pracy bez podatku od towarów i usług</w:t>
      </w:r>
      <w:r w:rsidR="00456C0B" w:rsidRPr="00456C0B">
        <w:rPr>
          <w:rFonts w:ascii="Arial" w:hAnsi="Arial" w:cs="Arial"/>
          <w:sz w:val="18"/>
        </w:rPr>
        <w:t>.</w:t>
      </w:r>
    </w:p>
    <w:p w14:paraId="0DA607BC" w14:textId="1D948C25" w:rsidR="00551171" w:rsidRPr="00456C0B" w:rsidRDefault="00551171" w:rsidP="00405AA9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sz w:val="18"/>
        </w:rPr>
      </w:pPr>
      <w:r w:rsidRPr="00456C0B">
        <w:rPr>
          <w:rFonts w:ascii="Arial" w:hAnsi="Arial" w:cs="Arial"/>
          <w:sz w:val="18"/>
        </w:rPr>
        <w:t>W przypadku, gdy podmiot, który zawarł umowę o refundację kosztów wyposażenia lub doposażenia stanowiska pracy, nabędzie prawo do obniżenia kwoty podatku od towarów i usług należnego o kwotę podatku naliczonego</w:t>
      </w:r>
      <w:r w:rsidR="00456C0B" w:rsidRPr="00456C0B">
        <w:rPr>
          <w:rFonts w:ascii="Arial" w:hAnsi="Arial" w:cs="Arial"/>
          <w:sz w:val="18"/>
        </w:rPr>
        <w:t xml:space="preserve"> jest obowiązany do zwrotu równowartości podatku od towarów i usług zakupionych w ramach refundacji kosztów wyposażenia lub doposażenia stanowiska pracy.</w:t>
      </w:r>
    </w:p>
    <w:p w14:paraId="380933FC" w14:textId="3D9F43B1" w:rsidR="00F11281" w:rsidRDefault="00684AA4" w:rsidP="00F11281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color w:val="000000" w:themeColor="text1"/>
          <w:sz w:val="18"/>
        </w:rPr>
      </w:pPr>
      <w:r w:rsidRPr="00456C0B">
        <w:rPr>
          <w:rFonts w:ascii="Arial" w:hAnsi="Arial" w:cs="Arial"/>
          <w:sz w:val="18"/>
          <w:szCs w:val="18"/>
        </w:rPr>
        <w:t>Starosta przed dokonaniem refundacji stwierdza utworzenie stanowiska pracy, jego wyposa</w:t>
      </w:r>
      <w:r w:rsidR="00863257" w:rsidRPr="00456C0B">
        <w:rPr>
          <w:rFonts w:ascii="Arial" w:hAnsi="Arial" w:cs="Arial"/>
          <w:sz w:val="18"/>
          <w:szCs w:val="18"/>
        </w:rPr>
        <w:t xml:space="preserve">żenie </w:t>
      </w:r>
      <w:r w:rsidR="00863257" w:rsidRPr="00405AA9">
        <w:rPr>
          <w:rFonts w:ascii="Arial" w:hAnsi="Arial" w:cs="Arial"/>
          <w:sz w:val="18"/>
          <w:szCs w:val="18"/>
        </w:rPr>
        <w:t>lub</w:t>
      </w:r>
      <w:r w:rsidRPr="00405AA9">
        <w:rPr>
          <w:rFonts w:ascii="Arial" w:hAnsi="Arial" w:cs="Arial"/>
          <w:sz w:val="18"/>
          <w:szCs w:val="18"/>
        </w:rPr>
        <w:t xml:space="preserve"> </w:t>
      </w:r>
      <w:r w:rsidR="00863257" w:rsidRPr="00405AA9">
        <w:rPr>
          <w:rFonts w:ascii="Arial" w:hAnsi="Arial" w:cs="Arial"/>
          <w:sz w:val="18"/>
          <w:szCs w:val="18"/>
        </w:rPr>
        <w:t>doposażenie.</w:t>
      </w:r>
    </w:p>
    <w:p w14:paraId="7E784E1A" w14:textId="5E891E01" w:rsidR="00863257" w:rsidRDefault="00863257" w:rsidP="00F11281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color w:val="000000" w:themeColor="text1"/>
          <w:sz w:val="18"/>
        </w:rPr>
      </w:pPr>
      <w:r w:rsidRPr="00F11281">
        <w:rPr>
          <w:rFonts w:ascii="Arial" w:hAnsi="Arial" w:cs="Arial"/>
          <w:color w:val="000000" w:themeColor="text1"/>
          <w:sz w:val="18"/>
        </w:rPr>
        <w:t xml:space="preserve">W przypadku zwolnienia wyposażonego lub doposażonego stanowiska pracy z powodu rozwiązania stosunku pracy przez bezrobotnego lub poszukującego pracy, rozwiązania umowy o pracę przez podmiot, który zawarł umowę o refundację kosztów wyposażenia lub doposażenia stanowiska pracy, bez </w:t>
      </w:r>
      <w:r w:rsidRPr="00F11281">
        <w:rPr>
          <w:rFonts w:ascii="Arial" w:hAnsi="Arial" w:cs="Arial"/>
          <w:color w:val="000000" w:themeColor="text1"/>
          <w:sz w:val="18"/>
        </w:rPr>
        <w:lastRenderedPageBreak/>
        <w:t xml:space="preserve">wypowiedzenia, lub wygaśnięcia umowy o pracę, starosta </w:t>
      </w:r>
      <w:r w:rsidR="00A97340">
        <w:rPr>
          <w:rFonts w:ascii="Arial" w:hAnsi="Arial" w:cs="Arial"/>
          <w:color w:val="000000" w:themeColor="text1"/>
          <w:sz w:val="18"/>
        </w:rPr>
        <w:t>s</w:t>
      </w:r>
      <w:r w:rsidRPr="00F11281">
        <w:rPr>
          <w:rFonts w:ascii="Arial" w:hAnsi="Arial" w:cs="Arial"/>
          <w:color w:val="000000" w:themeColor="text1"/>
          <w:sz w:val="18"/>
        </w:rPr>
        <w:t>kieruje na zwolnione stanowisko pracy odpowiedniego bezrobotnego lub poszukującego pracy.</w:t>
      </w:r>
    </w:p>
    <w:p w14:paraId="6859265E" w14:textId="77777777" w:rsidR="00863257" w:rsidRDefault="00863257" w:rsidP="00F11281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color w:val="000000" w:themeColor="text1"/>
          <w:sz w:val="18"/>
        </w:rPr>
      </w:pPr>
      <w:r w:rsidRPr="00F11281">
        <w:rPr>
          <w:rFonts w:ascii="Arial" w:hAnsi="Arial" w:cs="Arial"/>
          <w:color w:val="000000" w:themeColor="text1"/>
          <w:sz w:val="18"/>
        </w:rPr>
        <w:t>Wnioskodawca nie może otrzymać finansowania formy pomocy z Funduszu Pracy w części, w której te same koszty zostały sfinansowane z innych środków publicznych.</w:t>
      </w:r>
    </w:p>
    <w:p w14:paraId="0BD5D3F1" w14:textId="344DF93F" w:rsidR="005B1F16" w:rsidRPr="00551171" w:rsidRDefault="005B1F16" w:rsidP="00F11281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color w:val="000000" w:themeColor="text1"/>
          <w:sz w:val="18"/>
        </w:rPr>
      </w:pPr>
      <w:r w:rsidRPr="00F11281">
        <w:rPr>
          <w:rFonts w:ascii="Arial" w:hAnsi="Arial" w:cs="Arial"/>
          <w:bCs/>
          <w:sz w:val="18"/>
          <w:szCs w:val="18"/>
        </w:rPr>
        <w:t xml:space="preserve">Pomoc udzielana w ramach </w:t>
      </w:r>
      <w:r w:rsidR="00EC2DAF">
        <w:rPr>
          <w:rFonts w:ascii="Arial" w:hAnsi="Arial" w:cs="Arial"/>
          <w:bCs/>
          <w:sz w:val="18"/>
          <w:szCs w:val="18"/>
        </w:rPr>
        <w:t>doposażenia</w:t>
      </w:r>
      <w:r w:rsidRPr="00F11281">
        <w:rPr>
          <w:rFonts w:ascii="Arial" w:hAnsi="Arial" w:cs="Arial"/>
          <w:bCs/>
          <w:sz w:val="18"/>
          <w:szCs w:val="18"/>
        </w:rPr>
        <w:t xml:space="preserve"> stanowi pomoc de minimis i jest udzielana na zasadach d</w:t>
      </w:r>
      <w:r w:rsidR="00A97340">
        <w:rPr>
          <w:rFonts w:ascii="Arial" w:hAnsi="Arial" w:cs="Arial"/>
          <w:bCs/>
          <w:sz w:val="18"/>
          <w:szCs w:val="18"/>
        </w:rPr>
        <w:t>op</w:t>
      </w:r>
      <w:r w:rsidRPr="00F11281">
        <w:rPr>
          <w:rFonts w:ascii="Arial" w:hAnsi="Arial" w:cs="Arial"/>
          <w:bCs/>
          <w:sz w:val="18"/>
          <w:szCs w:val="18"/>
        </w:rPr>
        <w:t>uszczalności pomocy de minims (dotyczy podmiotów prowadzących działalność gospodarczą).</w:t>
      </w:r>
    </w:p>
    <w:p w14:paraId="7A32389C" w14:textId="173CF3A5" w:rsidR="00551171" w:rsidRPr="00456C0B" w:rsidRDefault="00551171" w:rsidP="00F11281">
      <w:pPr>
        <w:pStyle w:val="Bezodstpw"/>
        <w:numPr>
          <w:ilvl w:val="0"/>
          <w:numId w:val="30"/>
        </w:numPr>
        <w:shd w:val="clear" w:color="auto" w:fill="FFFFFF" w:themeFill="background1"/>
        <w:spacing w:line="480" w:lineRule="auto"/>
        <w:rPr>
          <w:rFonts w:ascii="Arial" w:hAnsi="Arial" w:cs="Arial"/>
          <w:sz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W przypadku przyznania refundacji </w:t>
      </w:r>
      <w:r w:rsidR="00437A4C" w:rsidRPr="00456C0B">
        <w:rPr>
          <w:rFonts w:ascii="Arial" w:hAnsi="Arial" w:cs="Arial"/>
          <w:bCs/>
          <w:sz w:val="18"/>
          <w:szCs w:val="18"/>
        </w:rPr>
        <w:t>na doposażenie lub wyposażenie stanowiska prac</w:t>
      </w:r>
      <w:r w:rsidR="00D8453E" w:rsidRPr="00456C0B">
        <w:rPr>
          <w:rFonts w:ascii="Arial" w:hAnsi="Arial" w:cs="Arial"/>
          <w:bCs/>
          <w:sz w:val="18"/>
          <w:szCs w:val="18"/>
        </w:rPr>
        <w:t xml:space="preserve">y dla skierowanego bezrobotnego/poszukującego pracy </w:t>
      </w:r>
      <w:r w:rsidR="00437A4C" w:rsidRPr="00456C0B">
        <w:rPr>
          <w:rFonts w:ascii="Arial" w:hAnsi="Arial" w:cs="Arial"/>
          <w:bCs/>
          <w:sz w:val="18"/>
          <w:szCs w:val="18"/>
        </w:rPr>
        <w:t>będzie brana pod uwagę racjonalność, efektywność i gospodarowanie środkami publicznymi.</w:t>
      </w:r>
    </w:p>
    <w:p w14:paraId="083F6953" w14:textId="22945AAC" w:rsidR="001B53E1" w:rsidRPr="00456C0B" w:rsidRDefault="00EC2DAF" w:rsidP="001B53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Cs w:val="18"/>
        </w:rPr>
      </w:pPr>
      <w:r w:rsidRPr="00456C0B">
        <w:rPr>
          <w:rFonts w:ascii="Arial" w:hAnsi="Arial" w:cs="Arial"/>
          <w:b/>
          <w:szCs w:val="18"/>
        </w:rPr>
        <w:t>V</w:t>
      </w:r>
      <w:r w:rsidR="001B53E1" w:rsidRPr="00456C0B">
        <w:rPr>
          <w:rFonts w:ascii="Arial" w:hAnsi="Arial" w:cs="Arial"/>
          <w:b/>
          <w:szCs w:val="18"/>
        </w:rPr>
        <w:t>. Zabezpieczenie zwrotu refundacji;</w:t>
      </w:r>
    </w:p>
    <w:p w14:paraId="4F8A94E0" w14:textId="6B98E75E" w:rsidR="001B53E1" w:rsidRPr="00456C0B" w:rsidRDefault="00843D8D" w:rsidP="001B53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W celu zapewnienia zwrotu otrzymanej refundacji w przypadku niedotrzymania warunków umowy, Starosta uzależnia wypłatę środków (refundacji) od przedstawienia przez wnioskodawcę zabezpieczenia. </w:t>
      </w:r>
    </w:p>
    <w:p w14:paraId="0E869CC8" w14:textId="6F1D3BE7" w:rsidR="00843D8D" w:rsidRPr="00456C0B" w:rsidRDefault="001B53E1" w:rsidP="001B53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       </w:t>
      </w:r>
      <w:r w:rsidR="00843D8D" w:rsidRPr="00456C0B">
        <w:rPr>
          <w:rFonts w:ascii="Arial" w:hAnsi="Arial" w:cs="Arial"/>
          <w:bCs/>
          <w:sz w:val="18"/>
          <w:szCs w:val="18"/>
        </w:rPr>
        <w:t>Formy zabezpieczenia zwrotu przyznanej refundacji:</w:t>
      </w:r>
    </w:p>
    <w:p w14:paraId="4070E1F4" w14:textId="1ED9E00E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a) poręczenie;</w:t>
      </w:r>
    </w:p>
    <w:p w14:paraId="27754058" w14:textId="4759552F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b) weksel in blanco;</w:t>
      </w:r>
    </w:p>
    <w:p w14:paraId="4925BF18" w14:textId="09A1C545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c) weksel z poręczeniem wekslowym (aval);</w:t>
      </w:r>
    </w:p>
    <w:p w14:paraId="1E19ABE1" w14:textId="37E18744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d) gwarancja bankowa;</w:t>
      </w:r>
    </w:p>
    <w:p w14:paraId="620F0B5A" w14:textId="6E29A2BF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e) zestaw rejestrowy na prawach lub rzeczach;</w:t>
      </w:r>
    </w:p>
    <w:p w14:paraId="4E55717F" w14:textId="2900546C" w:rsidR="00843D8D" w:rsidRPr="00456C0B" w:rsidRDefault="00843D8D" w:rsidP="00843D8D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f) blokada środków zgromadzonych na rachunku płatniczym wnioskodawcy;</w:t>
      </w:r>
    </w:p>
    <w:p w14:paraId="5C8E04B4" w14:textId="69E50498" w:rsidR="001B53E1" w:rsidRPr="00456C0B" w:rsidRDefault="00843D8D" w:rsidP="00EC2DAF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g) akt notarialny o dobrowolnym poddaniu się egzekucji przez dłużnika. Zabezpi</w:t>
      </w:r>
      <w:r w:rsidR="00A47AFC" w:rsidRPr="00456C0B">
        <w:rPr>
          <w:rFonts w:ascii="Arial" w:hAnsi="Arial" w:cs="Arial"/>
          <w:bCs/>
          <w:sz w:val="18"/>
          <w:szCs w:val="18"/>
        </w:rPr>
        <w:t>eczenie może zostać ustanow</w:t>
      </w:r>
      <w:r w:rsidRPr="00456C0B">
        <w:rPr>
          <w:rFonts w:ascii="Arial" w:hAnsi="Arial" w:cs="Arial"/>
          <w:bCs/>
          <w:sz w:val="18"/>
          <w:szCs w:val="18"/>
        </w:rPr>
        <w:t>ione w jednej lub kilku formach. Przy za</w:t>
      </w:r>
      <w:r w:rsidR="00A47AFC" w:rsidRPr="00456C0B">
        <w:rPr>
          <w:rFonts w:ascii="Arial" w:hAnsi="Arial" w:cs="Arial"/>
          <w:bCs/>
          <w:sz w:val="18"/>
          <w:szCs w:val="18"/>
        </w:rPr>
        <w:t>bezpieczeniu w formie weksla in blanco albo aktu notarialnego o poddaniu się egzekucji jest konieczne ustanowienie dodatkowego zabezpieczenia.</w:t>
      </w:r>
    </w:p>
    <w:p w14:paraId="22814D45" w14:textId="682E32C1" w:rsidR="00A47AFC" w:rsidRPr="00456C0B" w:rsidRDefault="00A47AFC" w:rsidP="00D845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Poręczycielem może być:</w:t>
      </w:r>
    </w:p>
    <w:p w14:paraId="63DB6D8F" w14:textId="6CD7D203" w:rsidR="00A47AFC" w:rsidRPr="00456C0B" w:rsidRDefault="00A47AFC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a) osoba fizyczna pozostająca w stosunku pracy z pracodawcą nie będącym w stanie likwidacji kub upadłości, zatrudniona na czas nieokreślony lub czas określony nie krótszy niż 3 lata licząc od dnia złożenia wniosku (poręczyciel przekłada zaświadczenie z zakładu pracy o wysokości wynagrodzenia);</w:t>
      </w:r>
    </w:p>
    <w:p w14:paraId="2EA0B3B4" w14:textId="1D5734A5" w:rsidR="00A47AFC" w:rsidRPr="00456C0B" w:rsidRDefault="00A47AFC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b) osoba prawna, którymi są Skarb Państwa i jednostki organizacyjne, którym przepisy szczególne przyznają osobowość prawną, spółki kapitałowe – spółki akcyjne, proste spółki akcyjne i spółki z ograniczoną odpowiedzialnością, poręczyciel przekłada:</w:t>
      </w:r>
    </w:p>
    <w:p w14:paraId="358B51A5" w14:textId="66B4DCE3" w:rsidR="00A47AFC" w:rsidRPr="00456C0B" w:rsidRDefault="00A47AFC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akt założycielski/status lub umowę spółki;</w:t>
      </w:r>
    </w:p>
    <w:p w14:paraId="438AD971" w14:textId="0AC80157" w:rsidR="00A47AFC" w:rsidRPr="00456C0B" w:rsidRDefault="00A47AFC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odpis z KRS;</w:t>
      </w:r>
    </w:p>
    <w:p w14:paraId="35E82C4A" w14:textId="7951F820" w:rsidR="00A47AFC" w:rsidRPr="00456C0B" w:rsidRDefault="00A47AFC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uchwałę</w:t>
      </w:r>
      <w:r w:rsidR="00990C0E" w:rsidRPr="00456C0B">
        <w:rPr>
          <w:rFonts w:ascii="Arial" w:hAnsi="Arial" w:cs="Arial"/>
          <w:bCs/>
          <w:sz w:val="18"/>
          <w:szCs w:val="18"/>
        </w:rPr>
        <w:t xml:space="preserve"> organu uprawnionego (zarządu/rady nadzorczej/walnego zgromadzenia) do podejmowania decyzji o udzieleniu poręczenia (na piśmie z dokładnymi informacjami o udzielanym poręczeniu), jeżeli jest wymagana wewnętrznymi regulacjami;</w:t>
      </w:r>
    </w:p>
    <w:p w14:paraId="58A8E912" w14:textId="52FBE8D9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dodatkowych zgód np. rady nadzorczej, właściciela, jeżeli statut lub umowa spółki tego wymaga;</w:t>
      </w:r>
    </w:p>
    <w:p w14:paraId="2520A5EC" w14:textId="0EED58A3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informacje na temat beneficjentów rzeczywistych osoby prawnej np. w przypadku, gdy osoba prawna poręcza za wspólnika, członka zarządu lub współmałżonka ww. osób;</w:t>
      </w:r>
    </w:p>
    <w:p w14:paraId="426E2F2B" w14:textId="08B138CE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pełnomocnictwo, jeżeli osoba podpisująca poręczenie działa na podstawie pełnomocnictwa;</w:t>
      </w:r>
    </w:p>
    <w:p w14:paraId="11DCE5BF" w14:textId="4E2D16E9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lastRenderedPageBreak/>
        <w:t>- sprawozdania finansowe – bilans, rachunek zysków i strat;</w:t>
      </w:r>
    </w:p>
    <w:p w14:paraId="32D4C6D5" w14:textId="3BD21001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zaświadczenia z ZUS i Urzędu Skarbowego o niezaleganiu w opłatach;</w:t>
      </w:r>
    </w:p>
    <w:p w14:paraId="2FFB5D20" w14:textId="7C279BC5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wykaz aktywnych zobowiązań</w:t>
      </w:r>
    </w:p>
    <w:p w14:paraId="168FDED0" w14:textId="5B44547D" w:rsidR="00990C0E" w:rsidRPr="00456C0B" w:rsidRDefault="00990C0E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- oświadczenie, że nie istnieją żadne przeszkody prawne ani regulacyjne, które uniemożliwiałyby jej udzielenie poręczenia;</w:t>
      </w:r>
    </w:p>
    <w:p w14:paraId="676A3891" w14:textId="2DB8A860" w:rsidR="00990C0E" w:rsidRPr="00456C0B" w:rsidRDefault="00961CA7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c) osoba prowadząca działalność gospodarczą, która to działalność nie jest w stanie likwidacji lub upadłości; jeśli osoba prowadząca działalność gospodarczą rozlicza się z podatku dochodowego w formie ryczałtu od przychodów ewidencjonowanych, działalność gospodarcza musi być prowadzona powyżej 2 lat (poręczyciel przekłada: roczne rozliczenie podatku za rok poprzedni, lub dochodu/przychodu za rok poprzedni, zaświadczenie z ZUS i Urzędu Skarbowego o niezaleganiu w opłatach, dokument potwierdzający wpis do ewidencji działalności gospodarczej);</w:t>
      </w:r>
    </w:p>
    <w:p w14:paraId="20202D1D" w14:textId="4ED49C18" w:rsidR="00961CA7" w:rsidRPr="00456C0B" w:rsidRDefault="00961CA7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d) emeryt lub rencista posiadający świadczenie na okres nie krótszy niż 3 lata licząc od dnia złożenia wniosku (poręczyciel przekłada decyzję o wysokości świadczenia);</w:t>
      </w:r>
    </w:p>
    <w:p w14:paraId="4D753722" w14:textId="4A74B4FE" w:rsidR="00961CA7" w:rsidRPr="00456C0B" w:rsidRDefault="00E76E37" w:rsidP="00A47AF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e) rolnik (poręczyciel przekłada zaświadczenie z Urzędu Miasta i Gminy/Urzędu Gminy o wielkości gospodarstwa w przeliczeniu na hektary przeliczeniowe oraz zaświadczenie o niezaleganiu w opłacaniu składek na ubezpieczenie społeczne rolników z KRUS).</w:t>
      </w:r>
    </w:p>
    <w:p w14:paraId="7A506317" w14:textId="0FCCF8C4" w:rsidR="00E76E37" w:rsidRPr="00456C0B" w:rsidRDefault="00E76E37" w:rsidP="00D845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Poręczycielem nie może być:</w:t>
      </w:r>
    </w:p>
    <w:p w14:paraId="457042A8" w14:textId="51C5971D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a) osoba fizyczna będąca w stosunku pracy z wnioskodawcą;</w:t>
      </w:r>
    </w:p>
    <w:p w14:paraId="244322CE" w14:textId="2367EDE9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b) współmałżonek pozostający we wspólnocie majątkowej z wnioskodawcą;</w:t>
      </w:r>
    </w:p>
    <w:p w14:paraId="651EDAA2" w14:textId="50A0AC6F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c) osoba powyżej 75 roku życia;</w:t>
      </w:r>
    </w:p>
    <w:p w14:paraId="3F041011" w14:textId="534900D0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d) pracownik PUP;</w:t>
      </w:r>
    </w:p>
    <w:p w14:paraId="32B10D32" w14:textId="7CE884DA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e) osoba poręczająca</w:t>
      </w:r>
      <w:r w:rsidR="00315127" w:rsidRPr="00456C0B">
        <w:rPr>
          <w:rFonts w:ascii="Arial" w:hAnsi="Arial" w:cs="Arial"/>
          <w:bCs/>
          <w:sz w:val="18"/>
          <w:szCs w:val="18"/>
        </w:rPr>
        <w:t xml:space="preserve"> w PUP umowę cywilnoprawną</w:t>
      </w:r>
      <w:r w:rsidRPr="00456C0B">
        <w:rPr>
          <w:rFonts w:ascii="Arial" w:hAnsi="Arial" w:cs="Arial"/>
          <w:bCs/>
          <w:sz w:val="18"/>
          <w:szCs w:val="18"/>
        </w:rPr>
        <w:t>, które jeszcze nie wygasły;</w:t>
      </w:r>
    </w:p>
    <w:p w14:paraId="65A8D54A" w14:textId="16638BCE" w:rsidR="00E76E37" w:rsidRPr="00456C0B" w:rsidRDefault="00E76E37" w:rsidP="00E76E37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f) osoba, wobec której jest prowadzona egzekucja komornicza.</w:t>
      </w:r>
    </w:p>
    <w:p w14:paraId="03F726E5" w14:textId="0A60DDB5" w:rsidR="00E76E37" w:rsidRPr="00456C0B" w:rsidRDefault="00E76E37" w:rsidP="00D845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>Poręczyciel powinien być zameldowany, zamieszkiwać oraz osiągać dochody na terenie Rzeczpospolitej Polskiej. Dokumenty dotyczące zabezpieczenia zwrotu refundacji należy dostarczyć w przypadku pozytywnego rozpatrzenia wniosku o refundację. Zaświadczenie o dochodach poręczycieli powinny być wystawione w terminie do 30 dni przed dniem podpisani umowy (dotyczy osoby fizycznej). W przypadku poręczenia przez osobę prawną konieczne jest osiąganie dochodów i prowadzenia działalności gospodarczej na terenie Rzeczpospolitej Polskiej. Dokumenty dotyczące zabezpieczenia w formie poręczenia cywilnego wymagane są przed podpisaniem umowy. W przypadku pozostałych form zabezpieczenia zwrotu refundacji poręczenie musi by ustawione na kwotę stanowiącą 150% przyznanych środków. Właściwe dokumenty (po uzgodnieniu z PUP) należy przedłożyć po podpisaniu umowy, ale przed wypłatą refundacji. Koszty związane z us</w:t>
      </w:r>
      <w:r w:rsidR="0031277B" w:rsidRPr="00456C0B">
        <w:rPr>
          <w:rFonts w:ascii="Arial" w:hAnsi="Arial" w:cs="Arial"/>
          <w:bCs/>
          <w:sz w:val="18"/>
          <w:szCs w:val="18"/>
        </w:rPr>
        <w:t>tanowieniem zabezpieczenia umowy ponosi wnioskodawca.</w:t>
      </w:r>
    </w:p>
    <w:p w14:paraId="4126309C" w14:textId="2A4DA0EC" w:rsidR="0031277B" w:rsidRPr="00456C0B" w:rsidRDefault="0031277B" w:rsidP="0031277B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Starosta </w:t>
      </w:r>
      <w:r w:rsidR="0047670F" w:rsidRPr="00456C0B">
        <w:rPr>
          <w:rFonts w:ascii="Arial" w:hAnsi="Arial" w:cs="Arial"/>
          <w:bCs/>
          <w:sz w:val="18"/>
          <w:szCs w:val="18"/>
        </w:rPr>
        <w:t>może odmówić przyjęcia zaproponowanego zabezpieczenia, jeżeli uzna, że wskazane zabezpieczenie nie jest wystarczające do pokrycia zobowiązań, które mogą powstać w związku z nieprawidłową realizacją umowy.</w:t>
      </w:r>
    </w:p>
    <w:p w14:paraId="38526DAA" w14:textId="7F3D9607" w:rsidR="0031277B" w:rsidRPr="00456C0B" w:rsidRDefault="0031277B" w:rsidP="00D845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Przyznanie refundacji jest dokonywane na podstawie umowy cywilnoprawnej zawartej w formie pisemnej pod rygorem nieważności w terminie do 60 dni od dnia otrzymania przez wnioskodawcę pisma informującego o </w:t>
      </w:r>
      <w:r w:rsidRPr="00456C0B">
        <w:rPr>
          <w:rFonts w:ascii="Arial" w:hAnsi="Arial" w:cs="Arial"/>
          <w:bCs/>
          <w:sz w:val="18"/>
          <w:szCs w:val="18"/>
        </w:rPr>
        <w:lastRenderedPageBreak/>
        <w:t xml:space="preserve">sposobie rozpatrzenia wniosku. Niedotrzymanie terminu traktowane będzie, jako rezygnacja z zawarcia umowy. </w:t>
      </w:r>
    </w:p>
    <w:p w14:paraId="09101DC8" w14:textId="140602BF" w:rsidR="00D73A3C" w:rsidRPr="00456C0B" w:rsidRDefault="00D8453E" w:rsidP="00D845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Zakup sprzętu używanego będzie </w:t>
      </w:r>
      <w:r w:rsidR="0031277B" w:rsidRPr="00456C0B">
        <w:rPr>
          <w:rFonts w:ascii="Arial" w:hAnsi="Arial" w:cs="Arial"/>
          <w:bCs/>
          <w:sz w:val="18"/>
          <w:szCs w:val="18"/>
        </w:rPr>
        <w:t>uwzględni</w:t>
      </w:r>
      <w:r w:rsidR="00407291">
        <w:rPr>
          <w:rFonts w:ascii="Arial" w:hAnsi="Arial" w:cs="Arial"/>
          <w:bCs/>
          <w:sz w:val="18"/>
          <w:szCs w:val="18"/>
        </w:rPr>
        <w:t>o</w:t>
      </w:r>
      <w:r w:rsidR="0031277B" w:rsidRPr="00456C0B">
        <w:rPr>
          <w:rFonts w:ascii="Arial" w:hAnsi="Arial" w:cs="Arial"/>
          <w:bCs/>
          <w:sz w:val="18"/>
          <w:szCs w:val="18"/>
        </w:rPr>
        <w:t>ny, jeżeli sprzedający określi źródło pochodzenia sprzętu, złoży oświadczenie, że sprzęt ten nie został nabyty z wykorzystaniem dotacji krajowej lub wspólnotowej, cena sprzętu nie przekracza jego rynkowej wartości i jest</w:t>
      </w:r>
      <w:r w:rsidR="00315127" w:rsidRPr="00456C0B">
        <w:rPr>
          <w:rFonts w:ascii="Arial" w:hAnsi="Arial" w:cs="Arial"/>
          <w:bCs/>
          <w:sz w:val="18"/>
          <w:szCs w:val="18"/>
        </w:rPr>
        <w:t xml:space="preserve"> niższa od ceny nowego sprzętu. </w:t>
      </w:r>
      <w:r w:rsidR="0031277B" w:rsidRPr="00456C0B">
        <w:rPr>
          <w:rFonts w:ascii="Arial" w:hAnsi="Arial" w:cs="Arial"/>
          <w:bCs/>
          <w:sz w:val="18"/>
          <w:szCs w:val="18"/>
        </w:rPr>
        <w:t>Wartość zakupu rzeczy używanej nie może być wyższa niż wartość rynkowa, ale jednocześnie wartość każdej zakupionej rzeczy uż</w:t>
      </w:r>
      <w:r w:rsidR="00D73A3C" w:rsidRPr="00456C0B">
        <w:rPr>
          <w:rFonts w:ascii="Arial" w:hAnsi="Arial" w:cs="Arial"/>
          <w:bCs/>
          <w:sz w:val="18"/>
          <w:szCs w:val="18"/>
        </w:rPr>
        <w:t>y</w:t>
      </w:r>
      <w:r w:rsidR="0031277B" w:rsidRPr="00456C0B">
        <w:rPr>
          <w:rFonts w:ascii="Arial" w:hAnsi="Arial" w:cs="Arial"/>
          <w:bCs/>
          <w:sz w:val="18"/>
          <w:szCs w:val="18"/>
        </w:rPr>
        <w:t>wanej musi przekraczać 5000 zł. Uz</w:t>
      </w:r>
      <w:r w:rsidR="00D73A3C" w:rsidRPr="00456C0B">
        <w:rPr>
          <w:rFonts w:ascii="Arial" w:hAnsi="Arial" w:cs="Arial"/>
          <w:bCs/>
          <w:sz w:val="18"/>
          <w:szCs w:val="18"/>
        </w:rPr>
        <w:t>naw</w:t>
      </w:r>
      <w:r w:rsidR="00CE6801" w:rsidRPr="00456C0B">
        <w:rPr>
          <w:rFonts w:ascii="Arial" w:hAnsi="Arial" w:cs="Arial"/>
          <w:bCs/>
          <w:sz w:val="18"/>
          <w:szCs w:val="18"/>
        </w:rPr>
        <w:t>a</w:t>
      </w:r>
      <w:r w:rsidR="003226A8" w:rsidRPr="00456C0B">
        <w:rPr>
          <w:rFonts w:ascii="Arial" w:hAnsi="Arial" w:cs="Arial"/>
          <w:bCs/>
          <w:sz w:val="18"/>
          <w:szCs w:val="18"/>
        </w:rPr>
        <w:t xml:space="preserve">ne będą </w:t>
      </w:r>
      <w:r w:rsidR="00D73A3C" w:rsidRPr="00456C0B">
        <w:rPr>
          <w:rFonts w:ascii="Arial" w:hAnsi="Arial" w:cs="Arial"/>
          <w:bCs/>
          <w:sz w:val="18"/>
          <w:szCs w:val="18"/>
        </w:rPr>
        <w:t>umowy kupna-sprzedaży z dowodem zapłaty stosownego podatku</w:t>
      </w:r>
      <w:r w:rsidR="003226A8" w:rsidRPr="00456C0B">
        <w:rPr>
          <w:rFonts w:ascii="Arial" w:hAnsi="Arial" w:cs="Arial"/>
          <w:bCs/>
          <w:sz w:val="18"/>
          <w:szCs w:val="18"/>
        </w:rPr>
        <w:t xml:space="preserve"> z wyceną</w:t>
      </w:r>
      <w:r w:rsidR="00CE6801" w:rsidRPr="00456C0B">
        <w:rPr>
          <w:rFonts w:ascii="Arial" w:hAnsi="Arial" w:cs="Arial"/>
          <w:bCs/>
          <w:sz w:val="18"/>
          <w:szCs w:val="18"/>
        </w:rPr>
        <w:t xml:space="preserve"> rzeczoznawcy</w:t>
      </w:r>
      <w:r w:rsidRPr="00456C0B">
        <w:rPr>
          <w:rFonts w:ascii="Arial" w:hAnsi="Arial" w:cs="Arial"/>
          <w:bCs/>
          <w:sz w:val="18"/>
          <w:szCs w:val="18"/>
        </w:rPr>
        <w:t xml:space="preserve"> zakupionego używanego sprzętu</w:t>
      </w:r>
      <w:r w:rsidR="00C93281" w:rsidRPr="00456C0B">
        <w:rPr>
          <w:rFonts w:ascii="Arial" w:hAnsi="Arial" w:cs="Arial"/>
          <w:bCs/>
          <w:sz w:val="18"/>
          <w:szCs w:val="18"/>
        </w:rPr>
        <w:t xml:space="preserve">. Wnioskodawca </w:t>
      </w:r>
      <w:r w:rsidRPr="00456C0B">
        <w:rPr>
          <w:rFonts w:ascii="Arial" w:hAnsi="Arial" w:cs="Arial"/>
          <w:bCs/>
          <w:sz w:val="18"/>
          <w:szCs w:val="18"/>
        </w:rPr>
        <w:t>zobowiązany będzie do w</w:t>
      </w:r>
      <w:r w:rsidR="00D73A3C" w:rsidRPr="00456C0B">
        <w:rPr>
          <w:rFonts w:ascii="Arial" w:hAnsi="Arial" w:cs="Arial"/>
          <w:bCs/>
          <w:sz w:val="18"/>
          <w:szCs w:val="18"/>
        </w:rPr>
        <w:t xml:space="preserve">ykonania na własny koszt, w przypadku zakupów dokonanych za granicą przetłumaczenia na język polski przez tłumacza przysięgłego dokumentów potwierdzających dokonanie zakupów w ramach refundacji. Koszty zakupu </w:t>
      </w:r>
      <w:r w:rsidR="00407291">
        <w:rPr>
          <w:rFonts w:ascii="Arial" w:hAnsi="Arial" w:cs="Arial"/>
          <w:bCs/>
          <w:sz w:val="18"/>
          <w:szCs w:val="18"/>
        </w:rPr>
        <w:t>będą</w:t>
      </w:r>
      <w:r w:rsidR="00D73A3C" w:rsidRPr="00456C0B">
        <w:rPr>
          <w:rFonts w:ascii="Arial" w:hAnsi="Arial" w:cs="Arial"/>
          <w:bCs/>
          <w:sz w:val="18"/>
          <w:szCs w:val="18"/>
        </w:rPr>
        <w:t xml:space="preserve"> przeliczane na złote według kursu średniego ogłaszanego przez Narodowy Bank Polski w dniu wystawienia dokumentu księgowego stanowiącego rozliczenie zakupu.</w:t>
      </w:r>
    </w:p>
    <w:p w14:paraId="54E02C53" w14:textId="37114F35" w:rsidR="00407291" w:rsidRPr="00456C0B" w:rsidRDefault="00407291" w:rsidP="00C932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="00C93281" w:rsidRPr="00456C0B">
        <w:rPr>
          <w:rFonts w:ascii="Arial" w:hAnsi="Arial" w:cs="Arial"/>
          <w:bCs/>
          <w:sz w:val="18"/>
          <w:szCs w:val="18"/>
        </w:rPr>
        <w:t>Zakup sprzętu używanego możliwy będzie również na podstawie faktury.</w:t>
      </w:r>
    </w:p>
    <w:p w14:paraId="027F00FD" w14:textId="036FB2A0" w:rsidR="005B1F16" w:rsidRPr="00456C0B" w:rsidRDefault="00EC2DAF" w:rsidP="005B1F1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18"/>
          <w:szCs w:val="18"/>
        </w:rPr>
      </w:pPr>
      <w:r w:rsidRPr="00456C0B">
        <w:rPr>
          <w:rFonts w:ascii="Arial" w:hAnsi="Arial" w:cs="Arial"/>
          <w:b/>
          <w:bCs/>
          <w:sz w:val="18"/>
          <w:szCs w:val="18"/>
        </w:rPr>
        <w:t>V</w:t>
      </w:r>
      <w:r w:rsidR="00CE6801" w:rsidRPr="00456C0B">
        <w:rPr>
          <w:rFonts w:ascii="Arial" w:hAnsi="Arial" w:cs="Arial"/>
          <w:b/>
          <w:bCs/>
          <w:sz w:val="18"/>
          <w:szCs w:val="18"/>
        </w:rPr>
        <w:t xml:space="preserve">I. </w:t>
      </w:r>
      <w:r w:rsidR="005B1F16" w:rsidRPr="00456C0B">
        <w:rPr>
          <w:rFonts w:ascii="Arial" w:hAnsi="Arial" w:cs="Arial"/>
          <w:b/>
          <w:bCs/>
          <w:sz w:val="18"/>
          <w:szCs w:val="18"/>
        </w:rPr>
        <w:t>Pozostałe informacje</w:t>
      </w:r>
    </w:p>
    <w:p w14:paraId="4DAD1B4A" w14:textId="2AFE3BC1" w:rsidR="005B1F16" w:rsidRPr="00456C0B" w:rsidRDefault="005B1F16" w:rsidP="005B1F1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456C0B">
        <w:rPr>
          <w:rFonts w:ascii="Arial" w:hAnsi="Arial" w:cs="Arial"/>
          <w:bCs/>
          <w:sz w:val="18"/>
          <w:szCs w:val="18"/>
        </w:rPr>
        <w:t xml:space="preserve">PUP publikuje na stronie internetowej wykaz pracodawców, przedsiębiorców i innych podmiotów, </w:t>
      </w:r>
      <w:r w:rsidRPr="00456C0B">
        <w:rPr>
          <w:rFonts w:ascii="Arial" w:hAnsi="Arial" w:cs="Arial"/>
          <w:bCs/>
          <w:sz w:val="18"/>
          <w:szCs w:val="18"/>
        </w:rPr>
        <w:br/>
        <w:t>z którymi w okresie ostatnich 2 lat zawarł umowy w ramach formy pomocy.</w:t>
      </w:r>
    </w:p>
    <w:p w14:paraId="7DFA74D5" w14:textId="5F44E8C9" w:rsidR="000442CA" w:rsidRPr="00456C0B" w:rsidRDefault="005B1F16" w:rsidP="00AE346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Style w:val="Ppogrubienie"/>
          <w:rFonts w:ascii="Arial" w:hAnsi="Arial" w:cs="Arial"/>
          <w:bCs/>
          <w:sz w:val="18"/>
          <w:szCs w:val="18"/>
          <w:u w:val="single"/>
        </w:rPr>
      </w:pPr>
      <w:r w:rsidRPr="00456C0B">
        <w:rPr>
          <w:rFonts w:ascii="Arial" w:hAnsi="Arial" w:cs="Arial"/>
          <w:sz w:val="18"/>
          <w:szCs w:val="18"/>
        </w:rPr>
        <w:t>PUP umożliwia pracodawcy, który skorzystał z formy pomocy, dokonanie anonimowej ewaluacji w zakresie satysfakcji, jakości i trafności zaoferowanej pomocy.</w:t>
      </w:r>
    </w:p>
    <w:p w14:paraId="25AAEEEA" w14:textId="76471AE0" w:rsidR="00134E65" w:rsidRPr="00456C0B" w:rsidRDefault="00134E65" w:rsidP="005B1F1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56C0B">
        <w:rPr>
          <w:rFonts w:ascii="Arial" w:hAnsi="Arial"/>
          <w:sz w:val="16"/>
          <w:szCs w:val="16"/>
        </w:rPr>
        <w:t xml:space="preserve"> </w:t>
      </w:r>
    </w:p>
    <w:sectPr w:rsidR="00134E65" w:rsidRPr="00456C0B" w:rsidSect="004D1EC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01BA" w14:textId="77777777" w:rsidR="004E09F2" w:rsidRDefault="004E09F2" w:rsidP="00807D28">
      <w:pPr>
        <w:spacing w:after="0" w:line="240" w:lineRule="auto"/>
      </w:pPr>
      <w:r>
        <w:separator/>
      </w:r>
    </w:p>
  </w:endnote>
  <w:endnote w:type="continuationSeparator" w:id="0">
    <w:p w14:paraId="174BCC44" w14:textId="77777777" w:rsidR="004E09F2" w:rsidRDefault="004E09F2" w:rsidP="0080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DC8A" w14:textId="77777777" w:rsidR="004E09F2" w:rsidRDefault="004E09F2" w:rsidP="00807D28">
      <w:pPr>
        <w:spacing w:after="0" w:line="240" w:lineRule="auto"/>
      </w:pPr>
      <w:r>
        <w:separator/>
      </w:r>
    </w:p>
  </w:footnote>
  <w:footnote w:type="continuationSeparator" w:id="0">
    <w:p w14:paraId="05282B67" w14:textId="77777777" w:rsidR="004E09F2" w:rsidRDefault="004E09F2" w:rsidP="0080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22"/>
    <w:multiLevelType w:val="hybridMultilevel"/>
    <w:tmpl w:val="10E6A47E"/>
    <w:lvl w:ilvl="0" w:tplc="E7F6849E">
      <w:start w:val="7"/>
      <w:numFmt w:val="decimal"/>
      <w:lvlText w:val="%1."/>
      <w:lvlJc w:val="left"/>
      <w:pPr>
        <w:ind w:left="720" w:hanging="360"/>
      </w:pPr>
      <w:rPr>
        <w:rFonts w:eastAsia="Courier New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DDF"/>
    <w:multiLevelType w:val="hybridMultilevel"/>
    <w:tmpl w:val="FBA6CAF6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02"/>
    <w:multiLevelType w:val="hybridMultilevel"/>
    <w:tmpl w:val="237491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1EB"/>
    <w:multiLevelType w:val="hybridMultilevel"/>
    <w:tmpl w:val="15B4E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43505"/>
    <w:multiLevelType w:val="hybridMultilevel"/>
    <w:tmpl w:val="DE16736C"/>
    <w:lvl w:ilvl="0" w:tplc="3682A2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1E1F"/>
    <w:multiLevelType w:val="hybridMultilevel"/>
    <w:tmpl w:val="A612AB26"/>
    <w:lvl w:ilvl="0" w:tplc="4DC638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530"/>
    <w:multiLevelType w:val="hybridMultilevel"/>
    <w:tmpl w:val="A6186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163E9"/>
    <w:multiLevelType w:val="hybridMultilevel"/>
    <w:tmpl w:val="44002FD0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C1B38"/>
    <w:multiLevelType w:val="hybridMultilevel"/>
    <w:tmpl w:val="F324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3F74"/>
    <w:multiLevelType w:val="hybridMultilevel"/>
    <w:tmpl w:val="1A9085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978DA"/>
    <w:multiLevelType w:val="hybridMultilevel"/>
    <w:tmpl w:val="A80EC1F0"/>
    <w:lvl w:ilvl="0" w:tplc="3AF08AAE">
      <w:numFmt w:val="bullet"/>
      <w:lvlText w:val=""/>
      <w:lvlJc w:val="left"/>
      <w:pPr>
        <w:ind w:left="90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5707EA7"/>
    <w:multiLevelType w:val="hybridMultilevel"/>
    <w:tmpl w:val="C9E87D64"/>
    <w:lvl w:ilvl="0" w:tplc="3CECB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A0ED8"/>
    <w:multiLevelType w:val="hybridMultilevel"/>
    <w:tmpl w:val="AAC275F4"/>
    <w:lvl w:ilvl="0" w:tplc="311C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E38E0"/>
    <w:multiLevelType w:val="hybridMultilevel"/>
    <w:tmpl w:val="341C9CCE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49F6"/>
    <w:multiLevelType w:val="hybridMultilevel"/>
    <w:tmpl w:val="FEF0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612C2"/>
    <w:multiLevelType w:val="hybridMultilevel"/>
    <w:tmpl w:val="AD30BA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453AB"/>
    <w:multiLevelType w:val="hybridMultilevel"/>
    <w:tmpl w:val="1EA02C4C"/>
    <w:lvl w:ilvl="0" w:tplc="75AA58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B171F"/>
    <w:multiLevelType w:val="hybridMultilevel"/>
    <w:tmpl w:val="3F02BF7E"/>
    <w:lvl w:ilvl="0" w:tplc="E46A32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6528E"/>
    <w:multiLevelType w:val="hybridMultilevel"/>
    <w:tmpl w:val="A61025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100E8"/>
    <w:multiLevelType w:val="hybridMultilevel"/>
    <w:tmpl w:val="631C8D86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D2234"/>
    <w:multiLevelType w:val="hybridMultilevel"/>
    <w:tmpl w:val="492C84AA"/>
    <w:lvl w:ilvl="0" w:tplc="4DC638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5296"/>
    <w:multiLevelType w:val="hybridMultilevel"/>
    <w:tmpl w:val="2FC4FC70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5316B"/>
    <w:multiLevelType w:val="hybridMultilevel"/>
    <w:tmpl w:val="2EDAA6E0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3421E"/>
    <w:multiLevelType w:val="hybridMultilevel"/>
    <w:tmpl w:val="FF28630A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71505"/>
    <w:multiLevelType w:val="hybridMultilevel"/>
    <w:tmpl w:val="CFF6CF84"/>
    <w:lvl w:ilvl="0" w:tplc="AC5E182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57906"/>
    <w:multiLevelType w:val="hybridMultilevel"/>
    <w:tmpl w:val="F32A39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D496E"/>
    <w:multiLevelType w:val="hybridMultilevel"/>
    <w:tmpl w:val="165C1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04207B"/>
    <w:multiLevelType w:val="hybridMultilevel"/>
    <w:tmpl w:val="341EEE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65C18"/>
    <w:multiLevelType w:val="hybridMultilevel"/>
    <w:tmpl w:val="81E48F44"/>
    <w:lvl w:ilvl="0" w:tplc="C8E8058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4BD8"/>
    <w:multiLevelType w:val="hybridMultilevel"/>
    <w:tmpl w:val="A67A1C72"/>
    <w:lvl w:ilvl="0" w:tplc="FE6076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16785"/>
    <w:multiLevelType w:val="hybridMultilevel"/>
    <w:tmpl w:val="33328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6899"/>
    <w:multiLevelType w:val="hybridMultilevel"/>
    <w:tmpl w:val="CCAEA884"/>
    <w:lvl w:ilvl="0" w:tplc="EE3E7C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70EFF"/>
    <w:multiLevelType w:val="hybridMultilevel"/>
    <w:tmpl w:val="7FB0EDF0"/>
    <w:lvl w:ilvl="0" w:tplc="A9BC1A04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0553"/>
    <w:multiLevelType w:val="hybridMultilevel"/>
    <w:tmpl w:val="E55210B2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A45AC"/>
    <w:multiLevelType w:val="hybridMultilevel"/>
    <w:tmpl w:val="A8C05A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757A3"/>
    <w:multiLevelType w:val="hybridMultilevel"/>
    <w:tmpl w:val="F3DE5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61EB"/>
    <w:multiLevelType w:val="hybridMultilevel"/>
    <w:tmpl w:val="B24A7192"/>
    <w:lvl w:ilvl="0" w:tplc="A1C23460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E03D9"/>
    <w:multiLevelType w:val="hybridMultilevel"/>
    <w:tmpl w:val="F0ACAE24"/>
    <w:lvl w:ilvl="0" w:tplc="2ADE0C92">
      <w:start w:val="1"/>
      <w:numFmt w:val="lowerLetter"/>
      <w:lvlText w:val="%1)"/>
      <w:lvlJc w:val="left"/>
      <w:pPr>
        <w:ind w:left="1004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487063"/>
    <w:multiLevelType w:val="hybridMultilevel"/>
    <w:tmpl w:val="8FE8541A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C68DC"/>
    <w:multiLevelType w:val="hybridMultilevel"/>
    <w:tmpl w:val="FD0C4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939B5"/>
    <w:multiLevelType w:val="hybridMultilevel"/>
    <w:tmpl w:val="145A1B5A"/>
    <w:lvl w:ilvl="0" w:tplc="B2B695D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2358F5"/>
    <w:multiLevelType w:val="hybridMultilevel"/>
    <w:tmpl w:val="331C05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66A4F"/>
    <w:multiLevelType w:val="hybridMultilevel"/>
    <w:tmpl w:val="72605174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77201">
    <w:abstractNumId w:val="39"/>
  </w:num>
  <w:num w:numId="2" w16cid:durableId="1619795952">
    <w:abstractNumId w:val="2"/>
  </w:num>
  <w:num w:numId="3" w16cid:durableId="758988759">
    <w:abstractNumId w:val="27"/>
  </w:num>
  <w:num w:numId="4" w16cid:durableId="1532450690">
    <w:abstractNumId w:val="26"/>
  </w:num>
  <w:num w:numId="5" w16cid:durableId="1369381294">
    <w:abstractNumId w:val="40"/>
  </w:num>
  <w:num w:numId="6" w16cid:durableId="131557296">
    <w:abstractNumId w:val="15"/>
  </w:num>
  <w:num w:numId="7" w16cid:durableId="1385175567">
    <w:abstractNumId w:val="37"/>
  </w:num>
  <w:num w:numId="8" w16cid:durableId="833302769">
    <w:abstractNumId w:val="18"/>
  </w:num>
  <w:num w:numId="9" w16cid:durableId="150752465">
    <w:abstractNumId w:val="10"/>
  </w:num>
  <w:num w:numId="10" w16cid:durableId="692733257">
    <w:abstractNumId w:val="17"/>
  </w:num>
  <w:num w:numId="11" w16cid:durableId="1187327240">
    <w:abstractNumId w:val="4"/>
  </w:num>
  <w:num w:numId="12" w16cid:durableId="1107390983">
    <w:abstractNumId w:val="28"/>
  </w:num>
  <w:num w:numId="13" w16cid:durableId="2138791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1354760">
    <w:abstractNumId w:val="19"/>
  </w:num>
  <w:num w:numId="15" w16cid:durableId="1010522144">
    <w:abstractNumId w:val="32"/>
  </w:num>
  <w:num w:numId="16" w16cid:durableId="1179614415">
    <w:abstractNumId w:val="36"/>
  </w:num>
  <w:num w:numId="17" w16cid:durableId="1521703008">
    <w:abstractNumId w:val="0"/>
  </w:num>
  <w:num w:numId="18" w16cid:durableId="1339767541">
    <w:abstractNumId w:val="11"/>
  </w:num>
  <w:num w:numId="19" w16cid:durableId="545070755">
    <w:abstractNumId w:val="20"/>
  </w:num>
  <w:num w:numId="20" w16cid:durableId="1069961841">
    <w:abstractNumId w:val="5"/>
  </w:num>
  <w:num w:numId="21" w16cid:durableId="1330596337">
    <w:abstractNumId w:val="14"/>
  </w:num>
  <w:num w:numId="22" w16cid:durableId="67114445">
    <w:abstractNumId w:val="31"/>
  </w:num>
  <w:num w:numId="23" w16cid:durableId="518280727">
    <w:abstractNumId w:val="29"/>
  </w:num>
  <w:num w:numId="24" w16cid:durableId="45182921">
    <w:abstractNumId w:val="3"/>
  </w:num>
  <w:num w:numId="25" w16cid:durableId="1695233610">
    <w:abstractNumId w:val="6"/>
  </w:num>
  <w:num w:numId="26" w16cid:durableId="1722364826">
    <w:abstractNumId w:val="12"/>
  </w:num>
  <w:num w:numId="27" w16cid:durableId="1485776775">
    <w:abstractNumId w:val="35"/>
  </w:num>
  <w:num w:numId="28" w16cid:durableId="644625740">
    <w:abstractNumId w:val="33"/>
  </w:num>
  <w:num w:numId="29" w16cid:durableId="1529947802">
    <w:abstractNumId w:val="42"/>
  </w:num>
  <w:num w:numId="30" w16cid:durableId="2001960830">
    <w:abstractNumId w:val="22"/>
  </w:num>
  <w:num w:numId="31" w16cid:durableId="1926764980">
    <w:abstractNumId w:val="38"/>
  </w:num>
  <w:num w:numId="32" w16cid:durableId="1077366701">
    <w:abstractNumId w:val="7"/>
  </w:num>
  <w:num w:numId="33" w16cid:durableId="2100635192">
    <w:abstractNumId w:val="13"/>
  </w:num>
  <w:num w:numId="34" w16cid:durableId="549801367">
    <w:abstractNumId w:val="21"/>
  </w:num>
  <w:num w:numId="35" w16cid:durableId="1401446135">
    <w:abstractNumId w:val="1"/>
  </w:num>
  <w:num w:numId="36" w16cid:durableId="162357001">
    <w:abstractNumId w:val="16"/>
  </w:num>
  <w:num w:numId="37" w16cid:durableId="1620915266">
    <w:abstractNumId w:val="34"/>
  </w:num>
  <w:num w:numId="38" w16cid:durableId="1768426465">
    <w:abstractNumId w:val="25"/>
  </w:num>
  <w:num w:numId="39" w16cid:durableId="469636327">
    <w:abstractNumId w:val="41"/>
  </w:num>
  <w:num w:numId="40" w16cid:durableId="849023431">
    <w:abstractNumId w:val="9"/>
  </w:num>
  <w:num w:numId="41" w16cid:durableId="1500851059">
    <w:abstractNumId w:val="8"/>
  </w:num>
  <w:num w:numId="42" w16cid:durableId="1484467560">
    <w:abstractNumId w:val="30"/>
  </w:num>
  <w:num w:numId="43" w16cid:durableId="1453401567">
    <w:abstractNumId w:val="23"/>
  </w:num>
  <w:num w:numId="44" w16cid:durableId="1864241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D3"/>
    <w:rsid w:val="00006E7D"/>
    <w:rsid w:val="00007E84"/>
    <w:rsid w:val="000442CA"/>
    <w:rsid w:val="0006649B"/>
    <w:rsid w:val="000E4A2B"/>
    <w:rsid w:val="000F75A6"/>
    <w:rsid w:val="00105272"/>
    <w:rsid w:val="00134E65"/>
    <w:rsid w:val="00140496"/>
    <w:rsid w:val="00140EE7"/>
    <w:rsid w:val="00146386"/>
    <w:rsid w:val="00152655"/>
    <w:rsid w:val="00153A8F"/>
    <w:rsid w:val="001A5F58"/>
    <w:rsid w:val="001B53E1"/>
    <w:rsid w:val="001C167E"/>
    <w:rsid w:val="001F7950"/>
    <w:rsid w:val="002009D0"/>
    <w:rsid w:val="00217831"/>
    <w:rsid w:val="00226721"/>
    <w:rsid w:val="0024683E"/>
    <w:rsid w:val="00246FEF"/>
    <w:rsid w:val="00284A0B"/>
    <w:rsid w:val="002F4A8D"/>
    <w:rsid w:val="00302CFC"/>
    <w:rsid w:val="0031277B"/>
    <w:rsid w:val="00315127"/>
    <w:rsid w:val="00321B65"/>
    <w:rsid w:val="003226A8"/>
    <w:rsid w:val="00344E9D"/>
    <w:rsid w:val="00353037"/>
    <w:rsid w:val="00353FC2"/>
    <w:rsid w:val="00380203"/>
    <w:rsid w:val="00395E27"/>
    <w:rsid w:val="003B7B62"/>
    <w:rsid w:val="003C4A2C"/>
    <w:rsid w:val="003C62D3"/>
    <w:rsid w:val="00405AA9"/>
    <w:rsid w:val="00407291"/>
    <w:rsid w:val="00414A23"/>
    <w:rsid w:val="00437A4C"/>
    <w:rsid w:val="0044714C"/>
    <w:rsid w:val="00456C0B"/>
    <w:rsid w:val="00464277"/>
    <w:rsid w:val="0047670F"/>
    <w:rsid w:val="0048675B"/>
    <w:rsid w:val="00490FFB"/>
    <w:rsid w:val="004A208D"/>
    <w:rsid w:val="004D1EC9"/>
    <w:rsid w:val="004E09F2"/>
    <w:rsid w:val="004F763C"/>
    <w:rsid w:val="00532E66"/>
    <w:rsid w:val="00541495"/>
    <w:rsid w:val="00543E7E"/>
    <w:rsid w:val="0055020C"/>
    <w:rsid w:val="00551171"/>
    <w:rsid w:val="00565307"/>
    <w:rsid w:val="005853C9"/>
    <w:rsid w:val="005B1F16"/>
    <w:rsid w:val="005C7678"/>
    <w:rsid w:val="005E2D01"/>
    <w:rsid w:val="005E4579"/>
    <w:rsid w:val="005E7749"/>
    <w:rsid w:val="00621F6E"/>
    <w:rsid w:val="006313F4"/>
    <w:rsid w:val="00657CB5"/>
    <w:rsid w:val="00664554"/>
    <w:rsid w:val="00684AA4"/>
    <w:rsid w:val="00692450"/>
    <w:rsid w:val="00745BC7"/>
    <w:rsid w:val="00750B7E"/>
    <w:rsid w:val="00751F84"/>
    <w:rsid w:val="0075523E"/>
    <w:rsid w:val="00755964"/>
    <w:rsid w:val="007B19CA"/>
    <w:rsid w:val="007C7AEE"/>
    <w:rsid w:val="007F307A"/>
    <w:rsid w:val="00802096"/>
    <w:rsid w:val="00807D28"/>
    <w:rsid w:val="0081376A"/>
    <w:rsid w:val="0082477D"/>
    <w:rsid w:val="00827C15"/>
    <w:rsid w:val="00843D8D"/>
    <w:rsid w:val="00846286"/>
    <w:rsid w:val="00863257"/>
    <w:rsid w:val="00883DC8"/>
    <w:rsid w:val="008A68C8"/>
    <w:rsid w:val="008A75F3"/>
    <w:rsid w:val="008B2039"/>
    <w:rsid w:val="008C03A7"/>
    <w:rsid w:val="008E0A2D"/>
    <w:rsid w:val="009020D2"/>
    <w:rsid w:val="0095303F"/>
    <w:rsid w:val="00961CA7"/>
    <w:rsid w:val="00990C0E"/>
    <w:rsid w:val="009A0CD8"/>
    <w:rsid w:val="009D3975"/>
    <w:rsid w:val="009E37A0"/>
    <w:rsid w:val="009F0EB0"/>
    <w:rsid w:val="009F100D"/>
    <w:rsid w:val="00A14EDE"/>
    <w:rsid w:val="00A47AFC"/>
    <w:rsid w:val="00A72E38"/>
    <w:rsid w:val="00A82FC9"/>
    <w:rsid w:val="00A92C2D"/>
    <w:rsid w:val="00A97340"/>
    <w:rsid w:val="00AA39C2"/>
    <w:rsid w:val="00AE1366"/>
    <w:rsid w:val="00AE346C"/>
    <w:rsid w:val="00B11768"/>
    <w:rsid w:val="00B26AFA"/>
    <w:rsid w:val="00B347E7"/>
    <w:rsid w:val="00B7267B"/>
    <w:rsid w:val="00BC497C"/>
    <w:rsid w:val="00C10712"/>
    <w:rsid w:val="00C113B5"/>
    <w:rsid w:val="00C458E8"/>
    <w:rsid w:val="00C45DF8"/>
    <w:rsid w:val="00C75B6F"/>
    <w:rsid w:val="00C76EC3"/>
    <w:rsid w:val="00C813D0"/>
    <w:rsid w:val="00C82947"/>
    <w:rsid w:val="00C93281"/>
    <w:rsid w:val="00CE6801"/>
    <w:rsid w:val="00CF7753"/>
    <w:rsid w:val="00D24B1D"/>
    <w:rsid w:val="00D627B2"/>
    <w:rsid w:val="00D73A3C"/>
    <w:rsid w:val="00D77BB3"/>
    <w:rsid w:val="00D83338"/>
    <w:rsid w:val="00D8453E"/>
    <w:rsid w:val="00D92BDF"/>
    <w:rsid w:val="00D93482"/>
    <w:rsid w:val="00DE46D2"/>
    <w:rsid w:val="00E05159"/>
    <w:rsid w:val="00E06A6B"/>
    <w:rsid w:val="00E23CF9"/>
    <w:rsid w:val="00E25C17"/>
    <w:rsid w:val="00E427F5"/>
    <w:rsid w:val="00E521EA"/>
    <w:rsid w:val="00E76E37"/>
    <w:rsid w:val="00EC2DAF"/>
    <w:rsid w:val="00ED4B61"/>
    <w:rsid w:val="00EE37FC"/>
    <w:rsid w:val="00F04DFB"/>
    <w:rsid w:val="00F11281"/>
    <w:rsid w:val="00F237D2"/>
    <w:rsid w:val="00F26830"/>
    <w:rsid w:val="00F33A24"/>
    <w:rsid w:val="00F37315"/>
    <w:rsid w:val="00F62DD9"/>
    <w:rsid w:val="00F92F96"/>
    <w:rsid w:val="00F95777"/>
    <w:rsid w:val="00FB271B"/>
    <w:rsid w:val="00FB60AE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6DE2"/>
  <w15:chartTrackingRefBased/>
  <w15:docId w15:val="{216B4CEE-5A8C-4EA3-B3DD-B4B9E04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712"/>
  </w:style>
  <w:style w:type="paragraph" w:styleId="Nagwek1">
    <w:name w:val="heading 1"/>
    <w:basedOn w:val="Normalny"/>
    <w:next w:val="Normalny"/>
    <w:link w:val="Nagwek1Znak"/>
    <w:uiPriority w:val="9"/>
    <w:qFormat/>
    <w:rsid w:val="00C107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7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71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7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7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7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71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71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71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71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71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71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712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712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71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71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71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71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1071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1071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71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71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71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C10712"/>
    <w:rPr>
      <w:rFonts w:asciiTheme="majorHAnsi" w:eastAsiaTheme="majorEastAsia" w:hAnsiTheme="majorHAnsi" w:cstheme="majorBidi"/>
      <w:sz w:val="25"/>
      <w:szCs w:val="25"/>
    </w:rPr>
  </w:style>
  <w:style w:type="paragraph" w:styleId="Akapitzlist">
    <w:name w:val="List Paragraph"/>
    <w:basedOn w:val="Normalny"/>
    <w:uiPriority w:val="34"/>
    <w:qFormat/>
    <w:rsid w:val="003C62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712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71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712"/>
    <w:rPr>
      <w:color w:val="404040" w:themeColor="text1" w:themeTint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C10712"/>
    <w:rPr>
      <w:b/>
      <w:bCs/>
      <w:caps w:val="0"/>
      <w:smallCaps/>
      <w:color w:val="auto"/>
      <w:spacing w:val="3"/>
      <w:u w:val="single"/>
    </w:rPr>
  </w:style>
  <w:style w:type="paragraph" w:customStyle="1" w:styleId="ARTartustawynprozporzdzenia">
    <w:name w:val="ART(§) – art. ustawy (§ np. rozporządzenia)"/>
    <w:uiPriority w:val="11"/>
    <w:rsid w:val="005853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rsid w:val="005853C9"/>
    <w:rPr>
      <w:b/>
    </w:rPr>
  </w:style>
  <w:style w:type="paragraph" w:customStyle="1" w:styleId="PKTpunkt">
    <w:name w:val="PKT – punkt"/>
    <w:uiPriority w:val="13"/>
    <w:rsid w:val="003C4A2C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rsid w:val="003C4A2C"/>
    <w:rPr>
      <w:b w:val="0"/>
      <w:i w:val="0"/>
      <w:vanish w:val="0"/>
      <w:spacing w:val="0"/>
      <w:vertAlign w:val="superscript"/>
    </w:rPr>
  </w:style>
  <w:style w:type="paragraph" w:customStyle="1" w:styleId="Default">
    <w:name w:val="Default"/>
    <w:rsid w:val="000442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D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7D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7D28"/>
    <w:rPr>
      <w:vertAlign w:val="superscript"/>
    </w:rPr>
  </w:style>
  <w:style w:type="paragraph" w:styleId="Bezodstpw">
    <w:name w:val="No Spacing"/>
    <w:uiPriority w:val="1"/>
    <w:qFormat/>
    <w:rsid w:val="00C10712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C10712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C10712"/>
    <w:rPr>
      <w:b/>
      <w:bCs/>
    </w:rPr>
  </w:style>
  <w:style w:type="character" w:styleId="Uwydatnienie">
    <w:name w:val="Emphasis"/>
    <w:basedOn w:val="Domylnaczcionkaakapitu"/>
    <w:uiPriority w:val="20"/>
    <w:qFormat/>
    <w:rsid w:val="00C1071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C10712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C10712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10712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07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477B-EC1A-476C-BAF9-8786417F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1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Jamrug</dc:creator>
  <cp:keywords/>
  <dc:description/>
  <cp:lastModifiedBy>Marzena Róźańska</cp:lastModifiedBy>
  <cp:revision>30</cp:revision>
  <cp:lastPrinted>2025-08-01T12:34:00Z</cp:lastPrinted>
  <dcterms:created xsi:type="dcterms:W3CDTF">2025-06-03T11:13:00Z</dcterms:created>
  <dcterms:modified xsi:type="dcterms:W3CDTF">2025-08-14T11:22:00Z</dcterms:modified>
</cp:coreProperties>
</file>